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096" w:rsidRDefault="00041096" w:rsidP="00041096">
      <w:pPr>
        <w:rPr>
          <w:rFonts w:asciiTheme="majorEastAsia" w:eastAsiaTheme="majorEastAsia" w:hAnsiTheme="majorEastAsia" w:cstheme="majorEastAsia"/>
          <w:szCs w:val="21"/>
        </w:rPr>
      </w:pPr>
    </w:p>
    <w:p w:rsidR="00041096" w:rsidRDefault="00041096" w:rsidP="00041096">
      <w:pPr>
        <w:rPr>
          <w:rFonts w:asciiTheme="majorEastAsia" w:eastAsiaTheme="majorEastAsia" w:hAnsiTheme="majorEastAsia" w:cstheme="majorEastAsia"/>
          <w:szCs w:val="21"/>
        </w:rPr>
      </w:pPr>
    </w:p>
    <w:p w:rsidR="00041096" w:rsidRDefault="00041096" w:rsidP="00041096">
      <w:pP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附件2：</w:t>
      </w:r>
    </w:p>
    <w:p w:rsidR="00041096" w:rsidRDefault="00041096" w:rsidP="00041096">
      <w:pPr>
        <w:keepNext/>
        <w:spacing w:line="48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采购需求报价</w:t>
      </w:r>
    </w:p>
    <w:p w:rsidR="00041096" w:rsidRDefault="00041096" w:rsidP="00041096">
      <w:pPr>
        <w:pStyle w:val="a3"/>
        <w:rPr>
          <w:rFonts w:asciiTheme="majorEastAsia" w:eastAsiaTheme="majorEastAsia" w:hAnsiTheme="majorEastAsia" w:cstheme="majorEastAsia"/>
          <w:sz w:val="21"/>
          <w:szCs w:val="21"/>
          <w:lang w:val="en-US"/>
        </w:rPr>
      </w:pPr>
    </w:p>
    <w:tbl>
      <w:tblPr>
        <w:tblStyle w:val="11"/>
        <w:tblW w:w="0" w:type="auto"/>
        <w:tblLook w:val="04A0" w:firstRow="1" w:lastRow="0" w:firstColumn="1" w:lastColumn="0" w:noHBand="0" w:noVBand="1"/>
      </w:tblPr>
      <w:tblGrid>
        <w:gridCol w:w="437"/>
        <w:gridCol w:w="528"/>
        <w:gridCol w:w="446"/>
        <w:gridCol w:w="104"/>
        <w:gridCol w:w="501"/>
        <w:gridCol w:w="635"/>
        <w:gridCol w:w="635"/>
        <w:gridCol w:w="873"/>
        <w:gridCol w:w="2990"/>
        <w:gridCol w:w="1147"/>
      </w:tblGrid>
      <w:tr w:rsidR="00041096" w:rsidTr="00711465">
        <w:tc>
          <w:tcPr>
            <w:tcW w:w="7323" w:type="dxa"/>
            <w:gridSpan w:val="9"/>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技术需求表</w:t>
            </w:r>
          </w:p>
        </w:tc>
        <w:tc>
          <w:tcPr>
            <w:tcW w:w="1199" w:type="dxa"/>
            <w:vAlign w:val="center"/>
          </w:tcPr>
          <w:p w:rsidR="00041096" w:rsidRDefault="00041096" w:rsidP="00711465">
            <w:pPr>
              <w:rPr>
                <w:rFonts w:asciiTheme="majorEastAsia" w:eastAsiaTheme="majorEastAsia" w:hAnsiTheme="majorEastAsia" w:cstheme="majorEastAsia"/>
                <w:szCs w:val="21"/>
              </w:rPr>
            </w:pPr>
          </w:p>
        </w:tc>
      </w:tr>
      <w:tr w:rsidR="00041096" w:rsidTr="00711465">
        <w:trPr>
          <w:trHeight w:val="90"/>
        </w:trPr>
        <w:tc>
          <w:tcPr>
            <w:tcW w:w="440" w:type="dxa"/>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项号</w:t>
            </w:r>
          </w:p>
          <w:p w:rsidR="00041096" w:rsidRDefault="00041096" w:rsidP="00711465">
            <w:pPr>
              <w:jc w:val="center"/>
              <w:rPr>
                <w:rFonts w:asciiTheme="majorEastAsia" w:eastAsiaTheme="majorEastAsia" w:hAnsiTheme="majorEastAsia" w:cstheme="majorEastAsia"/>
                <w:szCs w:val="21"/>
              </w:rPr>
            </w:pPr>
          </w:p>
        </w:tc>
        <w:tc>
          <w:tcPr>
            <w:tcW w:w="536" w:type="dxa"/>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标的名称</w:t>
            </w:r>
          </w:p>
        </w:tc>
        <w:tc>
          <w:tcPr>
            <w:tcW w:w="448" w:type="dxa"/>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单位</w:t>
            </w:r>
          </w:p>
        </w:tc>
        <w:tc>
          <w:tcPr>
            <w:tcW w:w="618" w:type="dxa"/>
            <w:gridSpan w:val="2"/>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数量</w:t>
            </w:r>
          </w:p>
        </w:tc>
        <w:tc>
          <w:tcPr>
            <w:tcW w:w="636" w:type="dxa"/>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单价（万元）</w:t>
            </w:r>
          </w:p>
        </w:tc>
        <w:tc>
          <w:tcPr>
            <w:tcW w:w="636" w:type="dxa"/>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合计（万元）</w:t>
            </w:r>
          </w:p>
        </w:tc>
        <w:tc>
          <w:tcPr>
            <w:tcW w:w="891" w:type="dxa"/>
            <w:shd w:val="clear" w:color="auto" w:fill="auto"/>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品牌、型号</w:t>
            </w:r>
          </w:p>
        </w:tc>
        <w:tc>
          <w:tcPr>
            <w:tcW w:w="3118" w:type="dxa"/>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技术参数及性能（配置）要求</w:t>
            </w:r>
          </w:p>
        </w:tc>
        <w:tc>
          <w:tcPr>
            <w:tcW w:w="1199" w:type="dxa"/>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响应说明</w:t>
            </w:r>
          </w:p>
        </w:tc>
      </w:tr>
      <w:tr w:rsidR="00041096" w:rsidTr="00711465">
        <w:trPr>
          <w:trHeight w:val="3948"/>
        </w:trPr>
        <w:tc>
          <w:tcPr>
            <w:tcW w:w="440" w:type="dxa"/>
            <w:shd w:val="clear" w:color="auto" w:fill="auto"/>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536" w:type="dxa"/>
            <w:shd w:val="clear" w:color="auto" w:fill="auto"/>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流程开发服务</w:t>
            </w:r>
          </w:p>
        </w:tc>
        <w:tc>
          <w:tcPr>
            <w:tcW w:w="448" w:type="dxa"/>
            <w:shd w:val="clear" w:color="auto" w:fill="auto"/>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套</w:t>
            </w:r>
          </w:p>
        </w:tc>
        <w:tc>
          <w:tcPr>
            <w:tcW w:w="618" w:type="dxa"/>
            <w:gridSpan w:val="2"/>
            <w:shd w:val="clear" w:color="auto" w:fill="auto"/>
            <w:vAlign w:val="center"/>
          </w:tcPr>
          <w:p w:rsidR="00041096" w:rsidRDefault="00041096" w:rsidP="00711465">
            <w:pPr>
              <w:ind w:firstLineChars="50" w:firstLine="10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636" w:type="dxa"/>
            <w:shd w:val="clear" w:color="auto" w:fill="auto"/>
            <w:vAlign w:val="center"/>
          </w:tcPr>
          <w:p w:rsidR="00041096" w:rsidRDefault="00041096" w:rsidP="00711465">
            <w:pPr>
              <w:rPr>
                <w:rFonts w:asciiTheme="majorEastAsia" w:eastAsiaTheme="majorEastAsia" w:hAnsiTheme="majorEastAsia" w:cstheme="majorEastAsia"/>
                <w:szCs w:val="21"/>
              </w:rPr>
            </w:pPr>
          </w:p>
        </w:tc>
        <w:tc>
          <w:tcPr>
            <w:tcW w:w="636" w:type="dxa"/>
            <w:shd w:val="clear" w:color="auto" w:fill="auto"/>
            <w:vAlign w:val="center"/>
          </w:tcPr>
          <w:p w:rsidR="00041096" w:rsidRDefault="00041096" w:rsidP="00711465">
            <w:pPr>
              <w:ind w:firstLineChars="50" w:firstLine="100"/>
              <w:rPr>
                <w:rFonts w:asciiTheme="majorEastAsia" w:eastAsiaTheme="majorEastAsia" w:hAnsiTheme="majorEastAsia" w:cstheme="majorEastAsia"/>
                <w:szCs w:val="21"/>
              </w:rPr>
            </w:pPr>
          </w:p>
        </w:tc>
        <w:tc>
          <w:tcPr>
            <w:tcW w:w="891" w:type="dxa"/>
            <w:shd w:val="clear" w:color="auto" w:fill="auto"/>
            <w:vAlign w:val="center"/>
          </w:tcPr>
          <w:p w:rsidR="00041096" w:rsidRDefault="00041096" w:rsidP="00711465">
            <w:pPr>
              <w:jc w:val="center"/>
              <w:rPr>
                <w:rFonts w:asciiTheme="majorEastAsia" w:eastAsiaTheme="majorEastAsia" w:hAnsiTheme="majorEastAsia" w:cstheme="majorEastAsia"/>
                <w:szCs w:val="21"/>
              </w:rPr>
            </w:pPr>
          </w:p>
          <w:p w:rsidR="00041096" w:rsidRDefault="00041096" w:rsidP="00711465">
            <w:pPr>
              <w:jc w:val="center"/>
              <w:rPr>
                <w:rFonts w:asciiTheme="majorEastAsia" w:eastAsiaTheme="majorEastAsia" w:hAnsiTheme="majorEastAsia" w:cstheme="majorEastAsia"/>
                <w:szCs w:val="21"/>
              </w:rPr>
            </w:pPr>
          </w:p>
          <w:p w:rsidR="00041096" w:rsidRDefault="00041096" w:rsidP="00711465">
            <w:pPr>
              <w:jc w:val="center"/>
              <w:rPr>
                <w:rFonts w:asciiTheme="majorEastAsia" w:eastAsiaTheme="majorEastAsia" w:hAnsiTheme="majorEastAsia" w:cstheme="majorEastAsia"/>
                <w:szCs w:val="21"/>
              </w:rPr>
            </w:pPr>
          </w:p>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定制开发</w:t>
            </w:r>
          </w:p>
          <w:p w:rsidR="00041096" w:rsidRDefault="00041096" w:rsidP="00711465">
            <w:pPr>
              <w:jc w:val="center"/>
              <w:rPr>
                <w:rFonts w:asciiTheme="majorEastAsia" w:eastAsiaTheme="majorEastAsia" w:hAnsiTheme="majorEastAsia" w:cstheme="majorEastAsia"/>
                <w:szCs w:val="21"/>
              </w:rPr>
            </w:pPr>
          </w:p>
          <w:p w:rsidR="00041096" w:rsidRDefault="00041096" w:rsidP="00711465">
            <w:pPr>
              <w:jc w:val="center"/>
              <w:rPr>
                <w:rFonts w:asciiTheme="majorEastAsia" w:eastAsiaTheme="majorEastAsia" w:hAnsiTheme="majorEastAsia" w:cstheme="majorEastAsia"/>
                <w:szCs w:val="21"/>
              </w:rPr>
            </w:pPr>
          </w:p>
          <w:p w:rsidR="00041096" w:rsidRDefault="00041096" w:rsidP="00711465">
            <w:pPr>
              <w:jc w:val="center"/>
              <w:rPr>
                <w:rFonts w:asciiTheme="majorEastAsia" w:eastAsiaTheme="majorEastAsia" w:hAnsiTheme="majorEastAsia" w:cstheme="majorEastAsia"/>
                <w:b/>
                <w:bCs/>
                <w:szCs w:val="21"/>
              </w:rPr>
            </w:pPr>
          </w:p>
        </w:tc>
        <w:tc>
          <w:tcPr>
            <w:tcW w:w="3118" w:type="dxa"/>
            <w:shd w:val="clear" w:color="auto" w:fill="auto"/>
            <w:vAlign w:val="center"/>
          </w:tcPr>
          <w:p w:rsidR="00041096" w:rsidRDefault="00041096" w:rsidP="00711465">
            <w:pPr>
              <w:rPr>
                <w:rFonts w:asciiTheme="majorEastAsia" w:eastAsiaTheme="majorEastAsia" w:hAnsiTheme="majorEastAsia" w:cstheme="majorEastAsia"/>
                <w:szCs w:val="21"/>
              </w:rPr>
            </w:pPr>
            <w:proofErr w:type="gramStart"/>
            <w:r>
              <w:rPr>
                <w:rFonts w:asciiTheme="majorEastAsia" w:eastAsiaTheme="majorEastAsia" w:hAnsiTheme="majorEastAsia" w:cstheme="majorEastAsia" w:hint="eastAsia"/>
                <w:szCs w:val="21"/>
              </w:rPr>
              <w:t>本要求</w:t>
            </w:r>
            <w:proofErr w:type="gramEnd"/>
            <w:r>
              <w:rPr>
                <w:rFonts w:asciiTheme="majorEastAsia" w:eastAsiaTheme="majorEastAsia" w:hAnsiTheme="majorEastAsia" w:cstheme="majorEastAsia" w:hint="eastAsia"/>
                <w:szCs w:val="21"/>
              </w:rPr>
              <w:t>中标注“▲”号的条款必须满足，对不能满足参数要求虚假响应，或者无法正常交货影响使用的，采购人将</w:t>
            </w:r>
            <w:proofErr w:type="gramStart"/>
            <w:r>
              <w:rPr>
                <w:rFonts w:asciiTheme="majorEastAsia" w:eastAsiaTheme="majorEastAsia" w:hAnsiTheme="majorEastAsia" w:cstheme="majorEastAsia" w:hint="eastAsia"/>
                <w:szCs w:val="21"/>
              </w:rPr>
              <w:t>作为废标处</w:t>
            </w:r>
            <w:proofErr w:type="gramEnd"/>
            <w:r>
              <w:rPr>
                <w:rFonts w:asciiTheme="majorEastAsia" w:eastAsiaTheme="majorEastAsia" w:hAnsiTheme="majorEastAsia" w:cstheme="majorEastAsia" w:hint="eastAsia"/>
                <w:szCs w:val="21"/>
              </w:rPr>
              <w:t>理，并上报上级监管机构追究成交供应商虚假应标责任。</w:t>
            </w:r>
          </w:p>
          <w:p w:rsidR="00041096" w:rsidRPr="000A3E1F" w:rsidRDefault="00041096" w:rsidP="00711465">
            <w:pPr>
              <w:numPr>
                <w:ilvl w:val="0"/>
                <w:numId w:val="1"/>
              </w:numPr>
              <w:rPr>
                <w:rFonts w:asciiTheme="majorEastAsia" w:eastAsiaTheme="majorEastAsia" w:hAnsiTheme="majorEastAsia" w:cstheme="majorEastAsia"/>
                <w:b/>
                <w:bCs/>
                <w:szCs w:val="21"/>
              </w:rPr>
            </w:pPr>
            <w:r w:rsidRPr="000A3E1F">
              <w:rPr>
                <w:rFonts w:asciiTheme="majorEastAsia" w:eastAsiaTheme="majorEastAsia" w:hAnsiTheme="majorEastAsia" w:cstheme="majorEastAsia" w:hint="eastAsia"/>
                <w:b/>
                <w:bCs/>
                <w:szCs w:val="21"/>
              </w:rPr>
              <w:t>系统功能要求</w:t>
            </w:r>
          </w:p>
          <w:p w:rsidR="00041096" w:rsidRDefault="00041096" w:rsidP="00711465">
            <w:pPr>
              <w:numPr>
                <w:ilvl w:val="255"/>
                <w:numId w:val="0"/>
              </w:numPr>
              <w:rPr>
                <w:rFonts w:asciiTheme="majorEastAsia" w:eastAsiaTheme="majorEastAsia" w:hAnsiTheme="majorEastAsia" w:cstheme="majorEastAsia"/>
                <w:szCs w:val="21"/>
              </w:rPr>
            </w:pPr>
            <w:r w:rsidRPr="000A3E1F">
              <w:rPr>
                <w:rFonts w:asciiTheme="majorEastAsia" w:eastAsiaTheme="majorEastAsia" w:hAnsiTheme="majorEastAsia" w:cstheme="majorEastAsia" w:hint="eastAsia"/>
                <w:szCs w:val="21"/>
              </w:rPr>
              <w:t>以下为相关开发流程的主要服务</w:t>
            </w:r>
            <w:r>
              <w:rPr>
                <w:rFonts w:asciiTheme="majorEastAsia" w:eastAsiaTheme="majorEastAsia" w:hAnsiTheme="majorEastAsia" w:cstheme="majorEastAsia" w:hint="eastAsia"/>
                <w:szCs w:val="21"/>
              </w:rPr>
              <w:t>内容，实际交付以学校业务调研后为主。</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1.学生毕业一件事：</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对学生毕业及离校涉及到的学院、教务处、财务处、研究生院、后勤基建处、图书馆、档案馆等单位进行调研，系统梳理本科生、研究生、博士生等各层次学生毕业流程覆盖的成绩、学分、毕业设计、答辩、住宿、学费、图书、档案等环节，形成“学生毕业一件事”流程图，并实施流程开发和权限配置。实现毕业生层次、数量、在校情况、升学情况、就业情况等各类数据统计功能。</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2.学生转学、退学、休学、复学一件事:</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对学生转学、退学、休学、复学涉及到的</w:t>
            </w:r>
            <w:r w:rsidRPr="00B30480">
              <w:rPr>
                <w:rFonts w:asciiTheme="majorEastAsia" w:eastAsiaTheme="majorEastAsia" w:hAnsiTheme="majorEastAsia" w:cstheme="majorEastAsia" w:hint="eastAsia"/>
                <w:szCs w:val="21"/>
              </w:rPr>
              <w:t>学</w:t>
            </w:r>
            <w:r w:rsidRPr="00B30480">
              <w:rPr>
                <w:rFonts w:asciiTheme="majorEastAsia" w:eastAsiaTheme="majorEastAsia" w:hAnsiTheme="majorEastAsia" w:cstheme="majorEastAsia"/>
                <w:szCs w:val="21"/>
              </w:rPr>
              <w:t>院</w:t>
            </w:r>
            <w:r w:rsidRPr="00B30480">
              <w:rPr>
                <w:rFonts w:asciiTheme="majorEastAsia" w:eastAsiaTheme="majorEastAsia" w:hAnsiTheme="majorEastAsia" w:cstheme="majorEastAsia" w:hint="eastAsia"/>
                <w:szCs w:val="21"/>
              </w:rPr>
              <w:t>、</w:t>
            </w:r>
            <w:r w:rsidRPr="00B30480">
              <w:rPr>
                <w:rFonts w:asciiTheme="majorEastAsia" w:eastAsiaTheme="majorEastAsia" w:hAnsiTheme="majorEastAsia" w:cstheme="majorEastAsia"/>
                <w:szCs w:val="21"/>
              </w:rPr>
              <w:t>学工处、图书馆、</w:t>
            </w:r>
            <w:r w:rsidRPr="00B30480">
              <w:rPr>
                <w:rFonts w:asciiTheme="majorEastAsia" w:eastAsiaTheme="majorEastAsia" w:hAnsiTheme="majorEastAsia" w:cstheme="majorEastAsia" w:hint="eastAsia"/>
                <w:szCs w:val="21"/>
              </w:rPr>
              <w:t>档案馆、校</w:t>
            </w:r>
            <w:r w:rsidRPr="00B30480">
              <w:rPr>
                <w:rFonts w:asciiTheme="majorEastAsia" w:eastAsiaTheme="majorEastAsia" w:hAnsiTheme="majorEastAsia" w:cstheme="majorEastAsia"/>
                <w:szCs w:val="21"/>
              </w:rPr>
              <w:t>医院、后勤</w:t>
            </w:r>
            <w:r w:rsidRPr="00B30480">
              <w:rPr>
                <w:rFonts w:asciiTheme="majorEastAsia" w:eastAsiaTheme="majorEastAsia" w:hAnsiTheme="majorEastAsia" w:cstheme="majorEastAsia" w:hint="eastAsia"/>
                <w:szCs w:val="21"/>
              </w:rPr>
              <w:t>基建处</w:t>
            </w:r>
            <w:r w:rsidRPr="00B30480">
              <w:rPr>
                <w:rFonts w:asciiTheme="majorEastAsia" w:eastAsiaTheme="majorEastAsia" w:hAnsiTheme="majorEastAsia" w:cstheme="majorEastAsia"/>
                <w:szCs w:val="21"/>
              </w:rPr>
              <w:t>、</w:t>
            </w:r>
            <w:r w:rsidRPr="00B30480">
              <w:rPr>
                <w:rFonts w:asciiTheme="majorEastAsia" w:eastAsiaTheme="majorEastAsia" w:hAnsiTheme="majorEastAsia" w:cstheme="majorEastAsia" w:hint="eastAsia"/>
                <w:szCs w:val="21"/>
              </w:rPr>
              <w:t>财</w:t>
            </w:r>
            <w:r w:rsidRPr="00B30480">
              <w:rPr>
                <w:rFonts w:asciiTheme="majorEastAsia" w:eastAsiaTheme="majorEastAsia" w:hAnsiTheme="majorEastAsia" w:cstheme="majorEastAsia"/>
                <w:szCs w:val="21"/>
              </w:rPr>
              <w:t>务处</w:t>
            </w:r>
            <w:r w:rsidRPr="00B30480">
              <w:rPr>
                <w:rFonts w:asciiTheme="majorEastAsia" w:eastAsiaTheme="majorEastAsia" w:hAnsiTheme="majorEastAsia" w:cstheme="majorEastAsia" w:hint="eastAsia"/>
                <w:szCs w:val="21"/>
              </w:rPr>
              <w:t>等单位进行调研，系统梳理上述事项</w:t>
            </w:r>
            <w:r>
              <w:rPr>
                <w:rFonts w:asciiTheme="majorEastAsia" w:eastAsiaTheme="majorEastAsia" w:hAnsiTheme="majorEastAsia" w:cstheme="majorEastAsia" w:hint="eastAsia"/>
                <w:szCs w:val="21"/>
              </w:rPr>
              <w:t>办理流程覆盖的</w:t>
            </w:r>
            <w:r w:rsidRPr="00B30480">
              <w:rPr>
                <w:rFonts w:asciiTheme="majorEastAsia" w:eastAsiaTheme="majorEastAsia" w:hAnsiTheme="majorEastAsia" w:cstheme="majorEastAsia" w:hint="eastAsia"/>
                <w:szCs w:val="21"/>
              </w:rPr>
              <w:t>材料申请、证明、审核、办理等环节，形成“</w:t>
            </w:r>
            <w:r>
              <w:rPr>
                <w:rFonts w:asciiTheme="majorEastAsia" w:eastAsiaTheme="majorEastAsia" w:hAnsiTheme="majorEastAsia" w:cstheme="majorEastAsia" w:hint="eastAsia"/>
                <w:szCs w:val="21"/>
              </w:rPr>
              <w:t>学生转学、退学、休学、复学一件事</w:t>
            </w:r>
            <w:r w:rsidRPr="00B30480">
              <w:rPr>
                <w:rFonts w:asciiTheme="majorEastAsia" w:eastAsiaTheme="majorEastAsia" w:hAnsiTheme="majorEastAsia" w:cstheme="majorEastAsia" w:hint="eastAsia"/>
                <w:szCs w:val="21"/>
              </w:rPr>
              <w:t>”流程图，并实施流程开发和权限配</w:t>
            </w:r>
            <w:r w:rsidRPr="00A7157B">
              <w:rPr>
                <w:rFonts w:asciiTheme="majorEastAsia" w:eastAsiaTheme="majorEastAsia" w:hAnsiTheme="majorEastAsia" w:cstheme="majorEastAsia" w:hint="eastAsia"/>
                <w:szCs w:val="21"/>
              </w:rPr>
              <w:t>置。实现</w:t>
            </w:r>
            <w:r>
              <w:rPr>
                <w:rFonts w:asciiTheme="majorEastAsia" w:eastAsiaTheme="majorEastAsia" w:hAnsiTheme="majorEastAsia" w:cstheme="majorEastAsia" w:hint="eastAsia"/>
                <w:szCs w:val="21"/>
              </w:rPr>
              <w:t>转学、退</w:t>
            </w:r>
            <w:r>
              <w:rPr>
                <w:rFonts w:asciiTheme="majorEastAsia" w:eastAsiaTheme="majorEastAsia" w:hAnsiTheme="majorEastAsia" w:cstheme="majorEastAsia" w:hint="eastAsia"/>
                <w:szCs w:val="21"/>
              </w:rPr>
              <w:lastRenderedPageBreak/>
              <w:t>学、休学、复学等各类事项的分类、统计等功能。</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szCs w:val="21"/>
              </w:rPr>
              <w:t>3.</w:t>
            </w:r>
            <w:r>
              <w:rPr>
                <w:rFonts w:asciiTheme="majorEastAsia" w:eastAsiaTheme="majorEastAsia" w:hAnsiTheme="majorEastAsia" w:cstheme="majorEastAsia" w:hint="eastAsia"/>
                <w:szCs w:val="21"/>
              </w:rPr>
              <w:t>教职工离职、退休流程：</w:t>
            </w:r>
          </w:p>
          <w:p w:rsidR="00041096" w:rsidRDefault="00041096" w:rsidP="00711465">
            <w:pPr>
              <w:rPr>
                <w:rFonts w:asciiTheme="majorEastAsia" w:eastAsiaTheme="majorEastAsia" w:hAnsiTheme="majorEastAsia" w:cstheme="majorEastAsia"/>
                <w:szCs w:val="21"/>
              </w:rPr>
            </w:pPr>
            <w:r w:rsidRPr="00940F57">
              <w:rPr>
                <w:rFonts w:asciiTheme="majorEastAsia" w:eastAsiaTheme="majorEastAsia" w:hAnsiTheme="majorEastAsia" w:cstheme="majorEastAsia" w:hint="eastAsia"/>
                <w:sz w:val="21"/>
                <w:szCs w:val="21"/>
              </w:rPr>
              <w:t>对教师离职、退休涉及到的学院、人力资源处、教务处（专任教师）、研究生院（导师）、科研院、组织部（处级及以上领导干部）、学生工作部（专职辅导员）、离退处等职能部门进行调研，系统梳理教师离职、退休流程覆盖的教学任务、在</w:t>
            </w:r>
            <w:proofErr w:type="gramStart"/>
            <w:r w:rsidRPr="00940F57">
              <w:rPr>
                <w:rFonts w:asciiTheme="majorEastAsia" w:eastAsiaTheme="majorEastAsia" w:hAnsiTheme="majorEastAsia" w:cstheme="majorEastAsia" w:hint="eastAsia"/>
                <w:sz w:val="21"/>
                <w:szCs w:val="21"/>
              </w:rPr>
              <w:t>研</w:t>
            </w:r>
            <w:proofErr w:type="gramEnd"/>
            <w:r w:rsidRPr="00940F57">
              <w:rPr>
                <w:rFonts w:asciiTheme="majorEastAsia" w:eastAsiaTheme="majorEastAsia" w:hAnsiTheme="majorEastAsia" w:cstheme="majorEastAsia" w:hint="eastAsia"/>
                <w:sz w:val="21"/>
                <w:szCs w:val="21"/>
              </w:rPr>
              <w:t>项目、所带研究生等交接环节，形成教师离职、退休等流程图，并实施流程开发和权限配置。实现教师离职、退休数量、类型、层次等各类统计功能。</w:t>
            </w:r>
          </w:p>
          <w:p w:rsidR="00041096" w:rsidRDefault="00041096" w:rsidP="00711465">
            <w:pPr>
              <w:tabs>
                <w:tab w:val="left" w:pos="312"/>
              </w:tabs>
              <w:rPr>
                <w:rFonts w:asciiTheme="majorEastAsia" w:eastAsiaTheme="majorEastAsia" w:hAnsiTheme="majorEastAsia" w:cstheme="majorEastAsia"/>
                <w:szCs w:val="21"/>
              </w:rPr>
            </w:pPr>
            <w:r>
              <w:rPr>
                <w:rFonts w:asciiTheme="majorEastAsia" w:eastAsiaTheme="majorEastAsia" w:hAnsiTheme="majorEastAsia" w:cstheme="majorEastAsia"/>
                <w:szCs w:val="21"/>
              </w:rPr>
              <w:t>4.机动车、电动车、行人校内长期通行权限审批</w:t>
            </w:r>
            <w:r>
              <w:rPr>
                <w:rFonts w:asciiTheme="majorEastAsia" w:eastAsiaTheme="majorEastAsia" w:hAnsiTheme="majorEastAsia" w:cstheme="majorEastAsia" w:hint="eastAsia"/>
                <w:szCs w:val="21"/>
              </w:rPr>
              <w:t>流程：</w:t>
            </w:r>
          </w:p>
          <w:p w:rsidR="00041096" w:rsidRDefault="00041096" w:rsidP="00711465">
            <w:pPr>
              <w:tabs>
                <w:tab w:val="left" w:pos="312"/>
              </w:tabs>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对保卫处等部门进行调研，系统梳理校内教职工、家属、校内经营人员、项目实施人员等各类人员通过机动车、电动车或步行等方式长期进校的流程环节，通过与人事、学工等系统的对接，形成从申请到进校的线上办理和审批流程，并进行流程的定制开发和权限配置。实现校内长期出入人员数量、类型等统计等功能。</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二、技术要求</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szCs w:val="21"/>
              </w:rPr>
              <w:t>1.业务应用服务器与数据库服务应隔离部署，不允许运行在同一主机上。基础平台和数据应用均可运行于Linux、Unix等高安全性操作系统。开发技术应采用J2EE标准、组件技术，使系统功能最优化，同时减少系统内部在技术上的相互依赖。</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szCs w:val="21"/>
              </w:rPr>
              <w:t>2.系统应为纯 B/S 体系结构，每个子功能套件之间需要有统一的Web入口。支持各套件或功能模块的自由切换，支持不同功能套件的并行使用和交叉使用。</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szCs w:val="21"/>
              </w:rPr>
              <w:t>3.系统所有功能插件免安装客户</w:t>
            </w:r>
            <w:r>
              <w:rPr>
                <w:rFonts w:asciiTheme="majorEastAsia" w:eastAsiaTheme="majorEastAsia" w:hAnsiTheme="majorEastAsia" w:cstheme="majorEastAsia"/>
                <w:szCs w:val="21"/>
              </w:rPr>
              <w:lastRenderedPageBreak/>
              <w:t>端，必须兼容 IE、Firefox 、Chrome 、Safari 等主流浏览器，并随浏览器的更新及技术标准的变化不断升级业务系统软件，确保可通过在浏览器上正常访问，完成全部操作。</w:t>
            </w:r>
          </w:p>
          <w:p w:rsidR="00041096" w:rsidRDefault="00041096" w:rsidP="00711465">
            <w:pPr>
              <w:rPr>
                <w:rFonts w:asciiTheme="majorEastAsia" w:eastAsiaTheme="majorEastAsia" w:hAnsiTheme="majorEastAsia" w:cstheme="majorEastAsia"/>
                <w:b/>
                <w:bCs/>
                <w:szCs w:val="21"/>
              </w:rPr>
            </w:pPr>
            <w:r>
              <w:rPr>
                <w:rFonts w:asciiTheme="majorEastAsia" w:eastAsiaTheme="majorEastAsia" w:hAnsiTheme="majorEastAsia" w:cstheme="majorEastAsia" w:hint="eastAsia"/>
                <w:szCs w:val="21"/>
              </w:rPr>
              <w:t>三、集成要求</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1.▲供应商须承诺流程开发服务基于学校现有的业务流程平台进行开发，若产生对接或培训等额外费用，全部由中标方自行承担。</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2.▲供应商须承诺流程开发服务相关数据库支持与采购人学校现有的</w:t>
            </w:r>
            <w:proofErr w:type="gramStart"/>
            <w:r>
              <w:rPr>
                <w:rFonts w:asciiTheme="majorEastAsia" w:eastAsiaTheme="majorEastAsia" w:hAnsiTheme="majorEastAsia" w:cstheme="majorEastAsia" w:hint="eastAsia"/>
                <w:szCs w:val="21"/>
              </w:rPr>
              <w:t>国产达梦数据库</w:t>
            </w:r>
            <w:proofErr w:type="gramEnd"/>
            <w:r>
              <w:rPr>
                <w:rFonts w:asciiTheme="majorEastAsia" w:eastAsiaTheme="majorEastAsia" w:hAnsiTheme="majorEastAsia" w:cstheme="majorEastAsia" w:hint="eastAsia"/>
                <w:szCs w:val="21"/>
              </w:rPr>
              <w:t>适配工作。</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3.▲供应商须承诺与学校统一身份认证免费集成，所有用户组织结构权限，支持与学校现有身份认证体系对接。</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4.▲供应商须承诺与学校</w:t>
            </w:r>
            <w:bookmarkStart w:id="0" w:name="OLE_LINK5"/>
            <w:r>
              <w:rPr>
                <w:rFonts w:asciiTheme="majorEastAsia" w:eastAsiaTheme="majorEastAsia" w:hAnsiTheme="majorEastAsia" w:cstheme="majorEastAsia" w:hint="eastAsia"/>
                <w:szCs w:val="21"/>
              </w:rPr>
              <w:t>公共数据交换与共享平台</w:t>
            </w:r>
            <w:bookmarkEnd w:id="0"/>
            <w:r>
              <w:rPr>
                <w:rFonts w:asciiTheme="majorEastAsia" w:eastAsiaTheme="majorEastAsia" w:hAnsiTheme="majorEastAsia" w:cstheme="majorEastAsia" w:hint="eastAsia"/>
                <w:szCs w:val="21"/>
              </w:rPr>
              <w:t>免费集成。</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5.▲供应商须承诺</w:t>
            </w:r>
            <w:proofErr w:type="gramStart"/>
            <w:r>
              <w:rPr>
                <w:rFonts w:asciiTheme="majorEastAsia" w:eastAsiaTheme="majorEastAsia" w:hAnsiTheme="majorEastAsia" w:cstheme="majorEastAsia" w:hint="eastAsia"/>
                <w:szCs w:val="21"/>
              </w:rPr>
              <w:t>与微信服务</w:t>
            </w:r>
            <w:proofErr w:type="gramEnd"/>
            <w:r>
              <w:rPr>
                <w:rFonts w:asciiTheme="majorEastAsia" w:eastAsiaTheme="majorEastAsia" w:hAnsiTheme="majorEastAsia" w:cstheme="majorEastAsia" w:hint="eastAsia"/>
                <w:szCs w:val="21"/>
              </w:rPr>
              <w:t>号、短信平台、消息中心、外部消息免费集成。</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6.▲供应商须承诺与校务服务综合信息门户免费对接。</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四、安全要求</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1.认证授权：保证用户的合法性，避免内部敏感信息泄漏和服务所提供的信息资源被非法访问，造成严重的安全事件。</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2.完整性：建立数据完整性检验机制，保证收发双方数据的一致性，防止信息被非授权修改。平台应提供访问控制功能，依据安全策略控制用户对文件、数据库表等客体的访问。</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3.数据备份：利用数据库的备份功能将建设的平台和系统数据备份到指定的服务器或存储系统上。</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4.安全漏洞：平台应承诺交付时满足学校网络安全要求，并配合</w:t>
            </w:r>
            <w:r>
              <w:rPr>
                <w:rFonts w:asciiTheme="majorEastAsia" w:eastAsiaTheme="majorEastAsia" w:hAnsiTheme="majorEastAsia" w:cstheme="majorEastAsia" w:hint="eastAsia"/>
                <w:szCs w:val="21"/>
              </w:rPr>
              <w:lastRenderedPageBreak/>
              <w:t>学校完成系统等级保护或第三方安全检测工作，承诺免费修复系统产生的各类安全风险问题。</w:t>
            </w:r>
          </w:p>
          <w:p w:rsidR="008D7529" w:rsidRDefault="00C5387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w:t>
            </w:r>
            <w:bookmarkStart w:id="1" w:name="_GoBack"/>
            <w:bookmarkEnd w:id="1"/>
            <w:r w:rsidR="0044275C">
              <w:rPr>
                <w:rFonts w:asciiTheme="majorEastAsia" w:eastAsiaTheme="majorEastAsia" w:hAnsiTheme="majorEastAsia" w:cstheme="majorEastAsia" w:hint="eastAsia"/>
                <w:szCs w:val="21"/>
              </w:rPr>
              <w:t>五</w:t>
            </w:r>
            <w:r w:rsidR="008D7529">
              <w:rPr>
                <w:rFonts w:asciiTheme="majorEastAsia" w:eastAsiaTheme="majorEastAsia" w:hAnsiTheme="majorEastAsia" w:cstheme="majorEastAsia" w:hint="eastAsia"/>
                <w:szCs w:val="21"/>
              </w:rPr>
              <w:t>、其他要求</w:t>
            </w:r>
          </w:p>
          <w:p w:rsidR="008D7529" w:rsidRPr="008D7529" w:rsidRDefault="008D7529" w:rsidP="008D7529">
            <w:pPr>
              <w:rPr>
                <w:rFonts w:asciiTheme="majorEastAsia" w:eastAsiaTheme="majorEastAsia" w:hAnsiTheme="majorEastAsia" w:cstheme="majorEastAsia"/>
                <w:szCs w:val="21"/>
              </w:rPr>
            </w:pPr>
            <w:r w:rsidRPr="000A3E1F">
              <w:rPr>
                <w:rFonts w:asciiTheme="majorEastAsia" w:eastAsiaTheme="majorEastAsia" w:hAnsiTheme="majorEastAsia" w:cstheme="majorEastAsia" w:hint="eastAsia"/>
                <w:szCs w:val="21"/>
              </w:rPr>
              <w:t>供应商在服务期内须</w:t>
            </w:r>
            <w:proofErr w:type="gramStart"/>
            <w:r>
              <w:rPr>
                <w:rFonts w:asciiTheme="majorEastAsia" w:eastAsiaTheme="majorEastAsia" w:hAnsiTheme="majorEastAsia" w:cstheme="majorEastAsia" w:hint="eastAsia"/>
                <w:szCs w:val="21"/>
              </w:rPr>
              <w:t>派驻场人员</w:t>
            </w:r>
            <w:proofErr w:type="gramEnd"/>
            <w:r>
              <w:rPr>
                <w:rFonts w:asciiTheme="majorEastAsia" w:eastAsiaTheme="majorEastAsia" w:hAnsiTheme="majorEastAsia" w:cstheme="majorEastAsia" w:hint="eastAsia"/>
                <w:szCs w:val="21"/>
              </w:rPr>
              <w:t>不少于</w:t>
            </w:r>
            <w:r w:rsidRPr="000A3E1F">
              <w:rPr>
                <w:rFonts w:asciiTheme="majorEastAsia" w:eastAsiaTheme="majorEastAsia" w:hAnsiTheme="majorEastAsia" w:cstheme="majorEastAsia" w:hint="eastAsia"/>
                <w:szCs w:val="21"/>
              </w:rPr>
              <w:t>2人</w:t>
            </w:r>
            <w:r>
              <w:rPr>
                <w:rFonts w:asciiTheme="majorEastAsia" w:eastAsiaTheme="majorEastAsia" w:hAnsiTheme="majorEastAsia" w:cstheme="majorEastAsia" w:hint="eastAsia"/>
                <w:szCs w:val="21"/>
              </w:rPr>
              <w:t>，</w:t>
            </w:r>
            <w:r w:rsidRPr="008D7529">
              <w:rPr>
                <w:rFonts w:asciiTheme="majorEastAsia" w:eastAsiaTheme="majorEastAsia" w:hAnsiTheme="majorEastAsia" w:cstheme="majorEastAsia" w:hint="eastAsia"/>
                <w:szCs w:val="21"/>
              </w:rPr>
              <w:t>采购人为成交供应商驻场人员提供工作场所，驻场人员的一切费用</w:t>
            </w:r>
            <w:proofErr w:type="gramStart"/>
            <w:r w:rsidRPr="008D7529">
              <w:rPr>
                <w:rFonts w:asciiTheme="majorEastAsia" w:eastAsiaTheme="majorEastAsia" w:hAnsiTheme="majorEastAsia" w:cstheme="majorEastAsia" w:hint="eastAsia"/>
                <w:szCs w:val="21"/>
              </w:rPr>
              <w:t>由成</w:t>
            </w:r>
            <w:proofErr w:type="gramEnd"/>
            <w:r w:rsidRPr="008D7529">
              <w:rPr>
                <w:rFonts w:asciiTheme="majorEastAsia" w:eastAsiaTheme="majorEastAsia" w:hAnsiTheme="majorEastAsia" w:cstheme="majorEastAsia" w:hint="eastAsia"/>
                <w:szCs w:val="21"/>
              </w:rPr>
              <w:t>交供应商承担。</w:t>
            </w:r>
          </w:p>
          <w:p w:rsidR="008D7529" w:rsidRPr="008D7529" w:rsidRDefault="008D7529" w:rsidP="00711465">
            <w:pPr>
              <w:rPr>
                <w:rFonts w:asciiTheme="majorEastAsia" w:eastAsiaTheme="majorEastAsia" w:hAnsiTheme="majorEastAsia" w:cstheme="majorEastAsia"/>
                <w:szCs w:val="21"/>
              </w:rPr>
            </w:pPr>
          </w:p>
        </w:tc>
        <w:tc>
          <w:tcPr>
            <w:tcW w:w="1199" w:type="dxa"/>
            <w:vAlign w:val="center"/>
          </w:tcPr>
          <w:p w:rsidR="00041096" w:rsidRDefault="00041096" w:rsidP="00711465">
            <w:pPr>
              <w:rPr>
                <w:rFonts w:asciiTheme="majorEastAsia" w:eastAsiaTheme="majorEastAsia" w:hAnsiTheme="majorEastAsia" w:cstheme="majorEastAsia"/>
                <w:szCs w:val="21"/>
              </w:rPr>
            </w:pPr>
          </w:p>
          <w:p w:rsidR="00041096" w:rsidRDefault="00041096" w:rsidP="00711465">
            <w:pPr>
              <w:rPr>
                <w:rFonts w:asciiTheme="majorEastAsia" w:eastAsiaTheme="majorEastAsia" w:hAnsiTheme="majorEastAsia" w:cstheme="majorEastAsia"/>
                <w:szCs w:val="21"/>
              </w:rPr>
            </w:pPr>
          </w:p>
        </w:tc>
      </w:tr>
      <w:tr w:rsidR="00041096" w:rsidTr="00711465">
        <w:tc>
          <w:tcPr>
            <w:tcW w:w="440" w:type="dxa"/>
          </w:tcPr>
          <w:p w:rsidR="00041096" w:rsidRDefault="00041096" w:rsidP="00711465">
            <w:pPr>
              <w:rPr>
                <w:rFonts w:asciiTheme="majorEastAsia" w:eastAsiaTheme="majorEastAsia" w:hAnsiTheme="majorEastAsia" w:cstheme="majorEastAsia"/>
                <w:szCs w:val="21"/>
              </w:rPr>
            </w:pPr>
          </w:p>
        </w:tc>
        <w:tc>
          <w:tcPr>
            <w:tcW w:w="6883" w:type="dxa"/>
            <w:gridSpan w:val="8"/>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总价：</w:t>
            </w:r>
          </w:p>
        </w:tc>
        <w:tc>
          <w:tcPr>
            <w:tcW w:w="1199" w:type="dxa"/>
            <w:vAlign w:val="center"/>
          </w:tcPr>
          <w:p w:rsidR="00041096" w:rsidRDefault="00041096" w:rsidP="00711465">
            <w:pPr>
              <w:rPr>
                <w:rFonts w:asciiTheme="majorEastAsia" w:eastAsiaTheme="majorEastAsia" w:hAnsiTheme="majorEastAsia" w:cstheme="majorEastAsia"/>
                <w:szCs w:val="21"/>
              </w:rPr>
            </w:pPr>
          </w:p>
        </w:tc>
      </w:tr>
      <w:tr w:rsidR="00041096" w:rsidTr="00711465">
        <w:tc>
          <w:tcPr>
            <w:tcW w:w="7323" w:type="dxa"/>
            <w:gridSpan w:val="9"/>
          </w:tcPr>
          <w:p w:rsidR="00041096" w:rsidRDefault="00041096" w:rsidP="00711465">
            <w:pP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商务要求表：</w:t>
            </w:r>
          </w:p>
        </w:tc>
        <w:tc>
          <w:tcPr>
            <w:tcW w:w="1199" w:type="dxa"/>
            <w:vAlign w:val="center"/>
          </w:tcPr>
          <w:p w:rsidR="00041096" w:rsidRDefault="00041096" w:rsidP="00711465">
            <w:pP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响应说明</w:t>
            </w:r>
          </w:p>
        </w:tc>
      </w:tr>
      <w:tr w:rsidR="00041096" w:rsidTr="00711465">
        <w:tc>
          <w:tcPr>
            <w:tcW w:w="1528" w:type="dxa"/>
            <w:gridSpan w:val="4"/>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合同签订时间</w:t>
            </w:r>
          </w:p>
        </w:tc>
        <w:tc>
          <w:tcPr>
            <w:tcW w:w="5795" w:type="dxa"/>
            <w:gridSpan w:val="5"/>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自成交结果确定之日起5个工作日内。</w:t>
            </w:r>
          </w:p>
        </w:tc>
        <w:tc>
          <w:tcPr>
            <w:tcW w:w="1199" w:type="dxa"/>
            <w:vAlign w:val="center"/>
          </w:tcPr>
          <w:p w:rsidR="00041096" w:rsidRDefault="00041096" w:rsidP="00711465">
            <w:pPr>
              <w:rPr>
                <w:rFonts w:asciiTheme="majorEastAsia" w:eastAsiaTheme="majorEastAsia" w:hAnsiTheme="majorEastAsia" w:cstheme="majorEastAsia"/>
                <w:szCs w:val="21"/>
              </w:rPr>
            </w:pPr>
          </w:p>
        </w:tc>
      </w:tr>
      <w:tr w:rsidR="00041096" w:rsidTr="00711465">
        <w:tc>
          <w:tcPr>
            <w:tcW w:w="1528" w:type="dxa"/>
            <w:gridSpan w:val="4"/>
            <w:vAlign w:val="center"/>
          </w:tcPr>
          <w:p w:rsidR="00041096" w:rsidRDefault="00041096" w:rsidP="00711465">
            <w:pPr>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合同服务期</w:t>
            </w:r>
          </w:p>
        </w:tc>
        <w:tc>
          <w:tcPr>
            <w:tcW w:w="5795" w:type="dxa"/>
            <w:gridSpan w:val="5"/>
            <w:vAlign w:val="center"/>
          </w:tcPr>
          <w:p w:rsidR="00041096" w:rsidRDefault="000A3E1F"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7个月</w:t>
            </w:r>
          </w:p>
        </w:tc>
        <w:tc>
          <w:tcPr>
            <w:tcW w:w="1199" w:type="dxa"/>
            <w:vAlign w:val="center"/>
          </w:tcPr>
          <w:p w:rsidR="00041096" w:rsidRDefault="00041096" w:rsidP="00711465">
            <w:pPr>
              <w:tabs>
                <w:tab w:val="left" w:pos="420"/>
              </w:tabs>
              <w:wordWrap w:val="0"/>
              <w:rPr>
                <w:rFonts w:asciiTheme="majorEastAsia" w:eastAsiaTheme="majorEastAsia" w:hAnsiTheme="majorEastAsia" w:cstheme="majorEastAsia"/>
                <w:szCs w:val="21"/>
              </w:rPr>
            </w:pPr>
          </w:p>
        </w:tc>
      </w:tr>
      <w:tr w:rsidR="00041096" w:rsidTr="00711465">
        <w:tc>
          <w:tcPr>
            <w:tcW w:w="1528" w:type="dxa"/>
            <w:gridSpan w:val="4"/>
            <w:vAlign w:val="center"/>
          </w:tcPr>
          <w:p w:rsidR="00041096" w:rsidRDefault="00041096" w:rsidP="00711465">
            <w:pPr>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服务起止时间</w:t>
            </w:r>
          </w:p>
        </w:tc>
        <w:tc>
          <w:tcPr>
            <w:tcW w:w="5795" w:type="dxa"/>
            <w:gridSpan w:val="5"/>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2025年</w:t>
            </w:r>
            <w:r>
              <w:rPr>
                <w:rFonts w:asciiTheme="majorEastAsia" w:eastAsiaTheme="majorEastAsia" w:hAnsiTheme="majorEastAsia" w:cstheme="majorEastAsia"/>
                <w:szCs w:val="21"/>
              </w:rPr>
              <w:t>12</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szCs w:val="21"/>
              </w:rPr>
              <w:t>1</w:t>
            </w:r>
            <w:r>
              <w:rPr>
                <w:rFonts w:asciiTheme="majorEastAsia" w:eastAsiaTheme="majorEastAsia" w:hAnsiTheme="majorEastAsia" w:cstheme="majorEastAsia" w:hint="eastAsia"/>
                <w:szCs w:val="21"/>
              </w:rPr>
              <w:t>日至2026年</w:t>
            </w:r>
            <w:r>
              <w:rPr>
                <w:rFonts w:asciiTheme="majorEastAsia" w:eastAsiaTheme="majorEastAsia" w:hAnsiTheme="majorEastAsia" w:cstheme="majorEastAsia"/>
                <w:szCs w:val="21"/>
              </w:rPr>
              <w:t>6</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szCs w:val="21"/>
              </w:rPr>
              <w:t>1</w:t>
            </w:r>
            <w:r>
              <w:rPr>
                <w:rFonts w:asciiTheme="majorEastAsia" w:eastAsiaTheme="majorEastAsia" w:hAnsiTheme="majorEastAsia" w:cstheme="majorEastAsia" w:hint="eastAsia"/>
                <w:szCs w:val="21"/>
              </w:rPr>
              <w:t>日</w:t>
            </w:r>
          </w:p>
        </w:tc>
        <w:tc>
          <w:tcPr>
            <w:tcW w:w="1199" w:type="dxa"/>
            <w:vAlign w:val="center"/>
          </w:tcPr>
          <w:p w:rsidR="00041096" w:rsidRDefault="00041096" w:rsidP="00711465">
            <w:pPr>
              <w:tabs>
                <w:tab w:val="left" w:pos="420"/>
              </w:tabs>
              <w:wordWrap w:val="0"/>
              <w:rPr>
                <w:rFonts w:asciiTheme="majorEastAsia" w:eastAsiaTheme="majorEastAsia" w:hAnsiTheme="majorEastAsia" w:cstheme="majorEastAsia"/>
                <w:szCs w:val="21"/>
              </w:rPr>
            </w:pPr>
          </w:p>
        </w:tc>
      </w:tr>
      <w:tr w:rsidR="00041096" w:rsidTr="00711465">
        <w:tc>
          <w:tcPr>
            <w:tcW w:w="1528" w:type="dxa"/>
            <w:gridSpan w:val="4"/>
            <w:vAlign w:val="center"/>
          </w:tcPr>
          <w:p w:rsidR="00041096" w:rsidRDefault="00041096" w:rsidP="00711465">
            <w:pPr>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交货时间</w:t>
            </w:r>
          </w:p>
          <w:p w:rsidR="00041096" w:rsidRDefault="00041096" w:rsidP="00711465">
            <w:pPr>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及地点</w:t>
            </w:r>
          </w:p>
        </w:tc>
        <w:tc>
          <w:tcPr>
            <w:tcW w:w="5795" w:type="dxa"/>
            <w:gridSpan w:val="5"/>
            <w:vAlign w:val="center"/>
          </w:tcPr>
          <w:p w:rsidR="00041096" w:rsidRDefault="00041096" w:rsidP="00711465">
            <w:pPr>
              <w:tabs>
                <w:tab w:val="left" w:pos="420"/>
              </w:tabs>
              <w:wordWrap w:val="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交货时间：服务起算之日前完成交付。</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交货地点：南宁市内采购人指定地点。</w:t>
            </w:r>
          </w:p>
        </w:tc>
        <w:tc>
          <w:tcPr>
            <w:tcW w:w="1199" w:type="dxa"/>
            <w:vAlign w:val="center"/>
          </w:tcPr>
          <w:p w:rsidR="00041096" w:rsidRDefault="00041096" w:rsidP="00711465">
            <w:pPr>
              <w:tabs>
                <w:tab w:val="left" w:pos="420"/>
              </w:tabs>
              <w:wordWrap w:val="0"/>
              <w:rPr>
                <w:rFonts w:asciiTheme="majorEastAsia" w:eastAsiaTheme="majorEastAsia" w:hAnsiTheme="majorEastAsia" w:cstheme="majorEastAsia"/>
                <w:szCs w:val="21"/>
              </w:rPr>
            </w:pPr>
          </w:p>
        </w:tc>
      </w:tr>
      <w:tr w:rsidR="00041096" w:rsidTr="00711465">
        <w:tc>
          <w:tcPr>
            <w:tcW w:w="1528" w:type="dxa"/>
            <w:gridSpan w:val="4"/>
            <w:vAlign w:val="center"/>
          </w:tcPr>
          <w:p w:rsidR="00041096" w:rsidRDefault="00041096" w:rsidP="00711465">
            <w:pPr>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付款方式</w:t>
            </w:r>
          </w:p>
        </w:tc>
        <w:tc>
          <w:tcPr>
            <w:tcW w:w="5795" w:type="dxa"/>
            <w:gridSpan w:val="5"/>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成交供应商所提供的服务经采购人验收合格后，采购人</w:t>
            </w:r>
            <w:proofErr w:type="gramStart"/>
            <w:r>
              <w:rPr>
                <w:rFonts w:asciiTheme="majorEastAsia" w:eastAsiaTheme="majorEastAsia" w:hAnsiTheme="majorEastAsia" w:cstheme="majorEastAsia" w:hint="eastAsia"/>
                <w:szCs w:val="21"/>
              </w:rPr>
              <w:t>凭成交</w:t>
            </w:r>
            <w:proofErr w:type="gramEnd"/>
            <w:r>
              <w:rPr>
                <w:rFonts w:asciiTheme="majorEastAsia" w:eastAsiaTheme="majorEastAsia" w:hAnsiTheme="majorEastAsia" w:cstheme="majorEastAsia" w:hint="eastAsia"/>
                <w:szCs w:val="21"/>
              </w:rPr>
              <w:t>供应商开具的增值税发票按银行转账方式一次性支付合同款。</w:t>
            </w:r>
          </w:p>
        </w:tc>
        <w:tc>
          <w:tcPr>
            <w:tcW w:w="1199" w:type="dxa"/>
            <w:vAlign w:val="center"/>
          </w:tcPr>
          <w:p w:rsidR="00041096" w:rsidRDefault="00041096" w:rsidP="00711465">
            <w:pPr>
              <w:tabs>
                <w:tab w:val="left" w:pos="420"/>
              </w:tabs>
              <w:wordWrap w:val="0"/>
              <w:rPr>
                <w:rFonts w:asciiTheme="majorEastAsia" w:eastAsiaTheme="majorEastAsia" w:hAnsiTheme="majorEastAsia" w:cstheme="majorEastAsia"/>
                <w:szCs w:val="21"/>
              </w:rPr>
            </w:pPr>
          </w:p>
        </w:tc>
      </w:tr>
      <w:tr w:rsidR="00041096" w:rsidTr="00711465">
        <w:tc>
          <w:tcPr>
            <w:tcW w:w="1528" w:type="dxa"/>
            <w:gridSpan w:val="4"/>
            <w:tcBorders>
              <w:top w:val="single" w:sz="4" w:space="0" w:color="auto"/>
              <w:left w:val="single" w:sz="4" w:space="0" w:color="auto"/>
              <w:bottom w:val="single" w:sz="4" w:space="0" w:color="auto"/>
              <w:right w:val="single" w:sz="4" w:space="0" w:color="auto"/>
            </w:tcBorders>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售后服务要求</w:t>
            </w:r>
          </w:p>
        </w:tc>
        <w:tc>
          <w:tcPr>
            <w:tcW w:w="5795" w:type="dxa"/>
            <w:gridSpan w:val="5"/>
            <w:tcBorders>
              <w:top w:val="single" w:sz="4" w:space="0" w:color="auto"/>
              <w:left w:val="single" w:sz="4" w:space="0" w:color="auto"/>
              <w:bottom w:val="single" w:sz="4" w:space="0" w:color="auto"/>
              <w:right w:val="single" w:sz="4" w:space="0" w:color="auto"/>
            </w:tcBorders>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1、服务期内提供免费的软件维护及升级服务。</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2、服务期内不定期向采购人提供有关产品最新功能描述、产品使用技巧、用户实例、最新研究动态等内容和其他相关资料。</w:t>
            </w:r>
            <w:r>
              <w:rPr>
                <w:rFonts w:asciiTheme="majorEastAsia" w:eastAsiaTheme="majorEastAsia" w:hAnsiTheme="majorEastAsia" w:cstheme="majorEastAsia" w:hint="eastAsia"/>
                <w:szCs w:val="21"/>
              </w:rPr>
              <w:br/>
              <w:t>3、提供售后服务：</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     （1）成交供应商配备提供7*8小时专属</w:t>
            </w:r>
            <w:proofErr w:type="gramStart"/>
            <w:r>
              <w:rPr>
                <w:rFonts w:asciiTheme="majorEastAsia" w:eastAsiaTheme="majorEastAsia" w:hAnsiTheme="majorEastAsia" w:cstheme="majorEastAsia" w:hint="eastAsia"/>
                <w:szCs w:val="21"/>
              </w:rPr>
              <w:t>微信群</w:t>
            </w:r>
            <w:proofErr w:type="gramEnd"/>
            <w:r>
              <w:rPr>
                <w:rFonts w:asciiTheme="majorEastAsia" w:eastAsiaTheme="majorEastAsia" w:hAnsiTheme="majorEastAsia" w:cstheme="majorEastAsia" w:hint="eastAsia"/>
                <w:szCs w:val="21"/>
              </w:rPr>
              <w:t>服务；</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     （2）提供热线电话服务，支持7*24小时热线服务；</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 xml:space="preserve">     （3）提供客服</w:t>
            </w:r>
            <w:proofErr w:type="gramStart"/>
            <w:r>
              <w:rPr>
                <w:rFonts w:asciiTheme="majorEastAsia" w:eastAsiaTheme="majorEastAsia" w:hAnsiTheme="majorEastAsia" w:cstheme="majorEastAsia" w:hint="eastAsia"/>
                <w:szCs w:val="21"/>
              </w:rPr>
              <w:t>邮箱工</w:t>
            </w:r>
            <w:proofErr w:type="gramEnd"/>
            <w:r>
              <w:rPr>
                <w:rFonts w:asciiTheme="majorEastAsia" w:eastAsiaTheme="majorEastAsia" w:hAnsiTheme="majorEastAsia" w:cstheme="majorEastAsia" w:hint="eastAsia"/>
                <w:szCs w:val="21"/>
              </w:rPr>
              <w:t>单服务，</w:t>
            </w:r>
            <w:proofErr w:type="gramStart"/>
            <w:r>
              <w:rPr>
                <w:rFonts w:asciiTheme="majorEastAsia" w:eastAsiaTheme="majorEastAsia" w:hAnsiTheme="majorEastAsia" w:cstheme="majorEastAsia" w:hint="eastAsia"/>
                <w:szCs w:val="21"/>
              </w:rPr>
              <w:t>邮件工单问</w:t>
            </w:r>
            <w:proofErr w:type="gramEnd"/>
            <w:r>
              <w:rPr>
                <w:rFonts w:asciiTheme="majorEastAsia" w:eastAsiaTheme="majorEastAsia" w:hAnsiTheme="majorEastAsia" w:cstheme="majorEastAsia" w:hint="eastAsia"/>
                <w:szCs w:val="21"/>
              </w:rPr>
              <w:t>题24小时内完成回复处理。</w:t>
            </w:r>
          </w:p>
        </w:tc>
        <w:tc>
          <w:tcPr>
            <w:tcW w:w="1199" w:type="dxa"/>
            <w:tcBorders>
              <w:top w:val="single" w:sz="4" w:space="0" w:color="auto"/>
              <w:left w:val="single" w:sz="4" w:space="0" w:color="auto"/>
              <w:bottom w:val="single" w:sz="4" w:space="0" w:color="auto"/>
              <w:right w:val="single" w:sz="4" w:space="0" w:color="auto"/>
            </w:tcBorders>
            <w:vAlign w:val="center"/>
          </w:tcPr>
          <w:p w:rsidR="00041096" w:rsidRDefault="00041096" w:rsidP="00711465">
            <w:pPr>
              <w:tabs>
                <w:tab w:val="left" w:pos="420"/>
              </w:tabs>
              <w:wordWrap w:val="0"/>
              <w:rPr>
                <w:rFonts w:asciiTheme="majorEastAsia" w:eastAsiaTheme="majorEastAsia" w:hAnsiTheme="majorEastAsia" w:cstheme="majorEastAsia"/>
                <w:szCs w:val="21"/>
              </w:rPr>
            </w:pPr>
          </w:p>
        </w:tc>
      </w:tr>
      <w:tr w:rsidR="00041096" w:rsidTr="00711465">
        <w:tc>
          <w:tcPr>
            <w:tcW w:w="1528" w:type="dxa"/>
            <w:gridSpan w:val="4"/>
            <w:tcBorders>
              <w:top w:val="single" w:sz="4" w:space="0" w:color="auto"/>
              <w:left w:val="single" w:sz="4" w:space="0" w:color="auto"/>
              <w:bottom w:val="single" w:sz="4" w:space="0" w:color="auto"/>
              <w:right w:val="single" w:sz="4" w:space="0" w:color="auto"/>
            </w:tcBorders>
            <w:vAlign w:val="center"/>
          </w:tcPr>
          <w:p w:rsidR="00041096" w:rsidRDefault="00041096" w:rsidP="0071146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其他要求</w:t>
            </w:r>
          </w:p>
        </w:tc>
        <w:tc>
          <w:tcPr>
            <w:tcW w:w="5795" w:type="dxa"/>
            <w:gridSpan w:val="5"/>
            <w:tcBorders>
              <w:top w:val="single" w:sz="4" w:space="0" w:color="auto"/>
              <w:left w:val="single" w:sz="4" w:space="0" w:color="auto"/>
              <w:bottom w:val="single" w:sz="4" w:space="0" w:color="auto"/>
              <w:right w:val="single" w:sz="4" w:space="0" w:color="auto"/>
            </w:tcBorders>
            <w:vAlign w:val="center"/>
          </w:tcPr>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▲1、本项目按服务总价包干，为交钥匙工程，采购人不对项目服务、货物、施工等一切内容追加支付费用，而</w:t>
            </w:r>
            <w:proofErr w:type="gramStart"/>
            <w:r>
              <w:rPr>
                <w:rFonts w:asciiTheme="majorEastAsia" w:eastAsiaTheme="majorEastAsia" w:hAnsiTheme="majorEastAsia" w:cstheme="majorEastAsia" w:hint="eastAsia"/>
                <w:szCs w:val="21"/>
              </w:rPr>
              <w:t>由成交</w:t>
            </w:r>
            <w:proofErr w:type="gramEnd"/>
            <w:r>
              <w:rPr>
                <w:rFonts w:asciiTheme="majorEastAsia" w:eastAsiaTheme="majorEastAsia" w:hAnsiTheme="majorEastAsia" w:cstheme="majorEastAsia" w:hint="eastAsia"/>
                <w:szCs w:val="21"/>
              </w:rPr>
              <w:t>供应商在合同价内全部提供或解决，报价必须</w:t>
            </w:r>
            <w:proofErr w:type="gramStart"/>
            <w:r>
              <w:rPr>
                <w:rFonts w:asciiTheme="majorEastAsia" w:eastAsiaTheme="majorEastAsia" w:hAnsiTheme="majorEastAsia" w:cstheme="majorEastAsia" w:hint="eastAsia"/>
                <w:szCs w:val="21"/>
              </w:rPr>
              <w:t>含以</w:t>
            </w:r>
            <w:proofErr w:type="gramEnd"/>
            <w:r>
              <w:rPr>
                <w:rFonts w:asciiTheme="majorEastAsia" w:eastAsiaTheme="majorEastAsia" w:hAnsiTheme="majorEastAsia" w:cstheme="majorEastAsia" w:hint="eastAsia"/>
                <w:szCs w:val="21"/>
              </w:rPr>
              <w:t>下部分：</w:t>
            </w:r>
          </w:p>
          <w:p w:rsidR="00041096" w:rsidRDefault="00041096" w:rsidP="00711465">
            <w:pPr>
              <w:ind w:firstLineChars="200" w:firstLine="40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（1）服务的价格；</w:t>
            </w:r>
          </w:p>
          <w:p w:rsidR="00041096" w:rsidRDefault="00041096" w:rsidP="00711465">
            <w:pPr>
              <w:ind w:firstLineChars="200" w:firstLine="40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（2）必要的保险费用和各项税金；</w:t>
            </w:r>
          </w:p>
          <w:p w:rsidR="00041096" w:rsidRDefault="00041096" w:rsidP="00711465">
            <w:pPr>
              <w:ind w:firstLineChars="200" w:firstLine="40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（3）安装、调试、培训、技术支持、售后服务、更新升级等费用；</w:t>
            </w:r>
          </w:p>
          <w:p w:rsidR="00041096" w:rsidRDefault="00041096" w:rsidP="00711465">
            <w:pPr>
              <w:ind w:firstLineChars="200" w:firstLine="40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（4）验收时的专家服务费和采购代理费用。</w:t>
            </w:r>
          </w:p>
          <w:p w:rsidR="00041096" w:rsidRDefault="00041096"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2、标注“▲”号的条款必须满足，对不能满足参数要求虚假响应，或者无法正常交货影响使用的，采购人将</w:t>
            </w:r>
            <w:proofErr w:type="gramStart"/>
            <w:r>
              <w:rPr>
                <w:rFonts w:asciiTheme="majorEastAsia" w:eastAsiaTheme="majorEastAsia" w:hAnsiTheme="majorEastAsia" w:cstheme="majorEastAsia" w:hint="eastAsia"/>
                <w:szCs w:val="21"/>
              </w:rPr>
              <w:t>作为废标处理</w:t>
            </w:r>
            <w:proofErr w:type="gramEnd"/>
            <w:r>
              <w:rPr>
                <w:rFonts w:asciiTheme="majorEastAsia" w:eastAsiaTheme="majorEastAsia" w:hAnsiTheme="majorEastAsia" w:cstheme="majorEastAsia" w:hint="eastAsia"/>
                <w:szCs w:val="21"/>
              </w:rPr>
              <w:t>，并上报上级监管机构追究成交供应商虚假应标责任。</w:t>
            </w:r>
          </w:p>
          <w:p w:rsidR="00041096" w:rsidRDefault="00041096" w:rsidP="00711465">
            <w:pPr>
              <w:ind w:firstLineChars="100" w:firstLine="200"/>
              <w:rPr>
                <w:rFonts w:asciiTheme="majorEastAsia" w:eastAsiaTheme="majorEastAsia" w:hAnsiTheme="majorEastAsia" w:cstheme="majorEastAsia"/>
                <w:szCs w:val="21"/>
              </w:rPr>
            </w:pPr>
          </w:p>
          <w:p w:rsidR="00041096" w:rsidRDefault="00041096" w:rsidP="00711465">
            <w:pPr>
              <w:rPr>
                <w:rFonts w:asciiTheme="majorEastAsia" w:eastAsiaTheme="majorEastAsia" w:hAnsiTheme="majorEastAsia" w:cstheme="majorEastAsia"/>
                <w:szCs w:val="21"/>
              </w:rPr>
            </w:pPr>
          </w:p>
        </w:tc>
        <w:tc>
          <w:tcPr>
            <w:tcW w:w="1199" w:type="dxa"/>
            <w:tcBorders>
              <w:top w:val="single" w:sz="4" w:space="0" w:color="auto"/>
              <w:left w:val="single" w:sz="4" w:space="0" w:color="auto"/>
              <w:bottom w:val="single" w:sz="4" w:space="0" w:color="auto"/>
              <w:right w:val="single" w:sz="4" w:space="0" w:color="auto"/>
            </w:tcBorders>
            <w:vAlign w:val="center"/>
          </w:tcPr>
          <w:p w:rsidR="00041096" w:rsidRDefault="00041096" w:rsidP="00711465">
            <w:pPr>
              <w:tabs>
                <w:tab w:val="left" w:pos="420"/>
              </w:tabs>
              <w:wordWrap w:val="0"/>
              <w:rPr>
                <w:rFonts w:asciiTheme="majorEastAsia" w:eastAsiaTheme="majorEastAsia" w:hAnsiTheme="majorEastAsia" w:cstheme="majorEastAsia"/>
                <w:szCs w:val="21"/>
              </w:rPr>
            </w:pPr>
          </w:p>
        </w:tc>
      </w:tr>
    </w:tbl>
    <w:p w:rsidR="00755547" w:rsidRPr="00041096" w:rsidRDefault="00755547">
      <w:pPr>
        <w:rPr>
          <w:rFonts w:asciiTheme="majorEastAsia" w:eastAsiaTheme="majorEastAsia" w:hAnsiTheme="majorEastAsia" w:cstheme="majorEastAsia"/>
          <w:szCs w:val="21"/>
        </w:rPr>
      </w:pPr>
    </w:p>
    <w:sectPr w:rsidR="00755547" w:rsidRPr="00041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F6B" w:rsidRDefault="00B50F6B" w:rsidP="008D7529">
      <w:r>
        <w:separator/>
      </w:r>
    </w:p>
  </w:endnote>
  <w:endnote w:type="continuationSeparator" w:id="0">
    <w:p w:rsidR="00B50F6B" w:rsidRDefault="00B50F6B" w:rsidP="008D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金山简黑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F6B" w:rsidRDefault="00B50F6B" w:rsidP="008D7529">
      <w:r>
        <w:separator/>
      </w:r>
    </w:p>
  </w:footnote>
  <w:footnote w:type="continuationSeparator" w:id="0">
    <w:p w:rsidR="00B50F6B" w:rsidRDefault="00B50F6B" w:rsidP="008D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B45B96"/>
    <w:multiLevelType w:val="singleLevel"/>
    <w:tmpl w:val="7EB45B9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96"/>
    <w:rsid w:val="00001585"/>
    <w:rsid w:val="0000335B"/>
    <w:rsid w:val="0000634A"/>
    <w:rsid w:val="000076D2"/>
    <w:rsid w:val="00007D4F"/>
    <w:rsid w:val="00012813"/>
    <w:rsid w:val="00013A47"/>
    <w:rsid w:val="0001662C"/>
    <w:rsid w:val="00026182"/>
    <w:rsid w:val="000277AC"/>
    <w:rsid w:val="00031F45"/>
    <w:rsid w:val="00036B71"/>
    <w:rsid w:val="00037361"/>
    <w:rsid w:val="00037D17"/>
    <w:rsid w:val="00041096"/>
    <w:rsid w:val="00047DFB"/>
    <w:rsid w:val="000566ED"/>
    <w:rsid w:val="00056758"/>
    <w:rsid w:val="00056834"/>
    <w:rsid w:val="00072E38"/>
    <w:rsid w:val="000823B1"/>
    <w:rsid w:val="00087582"/>
    <w:rsid w:val="00094A7A"/>
    <w:rsid w:val="0009625E"/>
    <w:rsid w:val="000A3E1F"/>
    <w:rsid w:val="000A7A1D"/>
    <w:rsid w:val="000A7BCB"/>
    <w:rsid w:val="000B063B"/>
    <w:rsid w:val="000B2E8A"/>
    <w:rsid w:val="000B36B2"/>
    <w:rsid w:val="000B6366"/>
    <w:rsid w:val="000B6EBB"/>
    <w:rsid w:val="000B7F55"/>
    <w:rsid w:val="000C0EC8"/>
    <w:rsid w:val="000C17A0"/>
    <w:rsid w:val="000C1B01"/>
    <w:rsid w:val="000C3597"/>
    <w:rsid w:val="000D1167"/>
    <w:rsid w:val="000D2EA9"/>
    <w:rsid w:val="000F1B32"/>
    <w:rsid w:val="000F587F"/>
    <w:rsid w:val="000F5AA7"/>
    <w:rsid w:val="00101E5A"/>
    <w:rsid w:val="001036F0"/>
    <w:rsid w:val="00105882"/>
    <w:rsid w:val="00106F51"/>
    <w:rsid w:val="0011117F"/>
    <w:rsid w:val="00121131"/>
    <w:rsid w:val="00124A6B"/>
    <w:rsid w:val="00126A4E"/>
    <w:rsid w:val="001412AA"/>
    <w:rsid w:val="00141989"/>
    <w:rsid w:val="00142CA1"/>
    <w:rsid w:val="00146A7C"/>
    <w:rsid w:val="00151195"/>
    <w:rsid w:val="00152E1E"/>
    <w:rsid w:val="00155BDB"/>
    <w:rsid w:val="00162300"/>
    <w:rsid w:val="00167DF5"/>
    <w:rsid w:val="00170ADF"/>
    <w:rsid w:val="0017113C"/>
    <w:rsid w:val="001724B8"/>
    <w:rsid w:val="001725E6"/>
    <w:rsid w:val="00172C8F"/>
    <w:rsid w:val="00173FA6"/>
    <w:rsid w:val="00177755"/>
    <w:rsid w:val="001860EE"/>
    <w:rsid w:val="00186DC0"/>
    <w:rsid w:val="001978DF"/>
    <w:rsid w:val="00197D36"/>
    <w:rsid w:val="001A0387"/>
    <w:rsid w:val="001A49C2"/>
    <w:rsid w:val="001A6A74"/>
    <w:rsid w:val="001A7099"/>
    <w:rsid w:val="001B0DE9"/>
    <w:rsid w:val="001D028E"/>
    <w:rsid w:val="001D32B1"/>
    <w:rsid w:val="001D4176"/>
    <w:rsid w:val="001D42E1"/>
    <w:rsid w:val="001E0F89"/>
    <w:rsid w:val="001E7044"/>
    <w:rsid w:val="001F1195"/>
    <w:rsid w:val="001F13F5"/>
    <w:rsid w:val="001F4E71"/>
    <w:rsid w:val="00204189"/>
    <w:rsid w:val="00205B0D"/>
    <w:rsid w:val="00207ED8"/>
    <w:rsid w:val="0021134C"/>
    <w:rsid w:val="00211871"/>
    <w:rsid w:val="002138A8"/>
    <w:rsid w:val="00214A2C"/>
    <w:rsid w:val="00214C98"/>
    <w:rsid w:val="00225106"/>
    <w:rsid w:val="002257AE"/>
    <w:rsid w:val="00225B38"/>
    <w:rsid w:val="00225FA2"/>
    <w:rsid w:val="0023678C"/>
    <w:rsid w:val="00243769"/>
    <w:rsid w:val="00244B6B"/>
    <w:rsid w:val="00251095"/>
    <w:rsid w:val="00255092"/>
    <w:rsid w:val="00263D46"/>
    <w:rsid w:val="00266B9A"/>
    <w:rsid w:val="00267FD9"/>
    <w:rsid w:val="0027516C"/>
    <w:rsid w:val="002760B7"/>
    <w:rsid w:val="0027681F"/>
    <w:rsid w:val="00277740"/>
    <w:rsid w:val="002819C3"/>
    <w:rsid w:val="00282CBB"/>
    <w:rsid w:val="00286D51"/>
    <w:rsid w:val="0029168F"/>
    <w:rsid w:val="00292F29"/>
    <w:rsid w:val="002945FD"/>
    <w:rsid w:val="002949EF"/>
    <w:rsid w:val="002A3A12"/>
    <w:rsid w:val="002A48A5"/>
    <w:rsid w:val="002A572D"/>
    <w:rsid w:val="002A6533"/>
    <w:rsid w:val="002B2741"/>
    <w:rsid w:val="002B42A3"/>
    <w:rsid w:val="002C2FF9"/>
    <w:rsid w:val="002C7FA8"/>
    <w:rsid w:val="002D2D23"/>
    <w:rsid w:val="002D407E"/>
    <w:rsid w:val="002D4211"/>
    <w:rsid w:val="002E7BBA"/>
    <w:rsid w:val="003011A7"/>
    <w:rsid w:val="00302EB8"/>
    <w:rsid w:val="00304A2B"/>
    <w:rsid w:val="0030782C"/>
    <w:rsid w:val="0031040D"/>
    <w:rsid w:val="00312FDC"/>
    <w:rsid w:val="003143ED"/>
    <w:rsid w:val="0031515E"/>
    <w:rsid w:val="00315CFC"/>
    <w:rsid w:val="00316CE0"/>
    <w:rsid w:val="00317033"/>
    <w:rsid w:val="00323683"/>
    <w:rsid w:val="003242E7"/>
    <w:rsid w:val="003243CC"/>
    <w:rsid w:val="00326BCB"/>
    <w:rsid w:val="00335467"/>
    <w:rsid w:val="00336A0D"/>
    <w:rsid w:val="00337D5B"/>
    <w:rsid w:val="003419F4"/>
    <w:rsid w:val="003460BF"/>
    <w:rsid w:val="00346F68"/>
    <w:rsid w:val="0035024F"/>
    <w:rsid w:val="00351F89"/>
    <w:rsid w:val="00354706"/>
    <w:rsid w:val="003559DF"/>
    <w:rsid w:val="003614A6"/>
    <w:rsid w:val="00362EAF"/>
    <w:rsid w:val="00367599"/>
    <w:rsid w:val="00367972"/>
    <w:rsid w:val="00374729"/>
    <w:rsid w:val="00375727"/>
    <w:rsid w:val="00391EB8"/>
    <w:rsid w:val="0039342E"/>
    <w:rsid w:val="00396E49"/>
    <w:rsid w:val="00397453"/>
    <w:rsid w:val="0039765D"/>
    <w:rsid w:val="003A32F1"/>
    <w:rsid w:val="003A510E"/>
    <w:rsid w:val="003B1233"/>
    <w:rsid w:val="003B1EE2"/>
    <w:rsid w:val="003B1FB2"/>
    <w:rsid w:val="003B23A3"/>
    <w:rsid w:val="003C15F2"/>
    <w:rsid w:val="003C1619"/>
    <w:rsid w:val="003D0C7D"/>
    <w:rsid w:val="003D14F3"/>
    <w:rsid w:val="003D3A2F"/>
    <w:rsid w:val="003D48F6"/>
    <w:rsid w:val="003E3810"/>
    <w:rsid w:val="003E53E6"/>
    <w:rsid w:val="003E7AF4"/>
    <w:rsid w:val="003F18D0"/>
    <w:rsid w:val="003F3CCE"/>
    <w:rsid w:val="003F4F28"/>
    <w:rsid w:val="003F58CC"/>
    <w:rsid w:val="004071BC"/>
    <w:rsid w:val="00414E98"/>
    <w:rsid w:val="004170F4"/>
    <w:rsid w:val="00420D41"/>
    <w:rsid w:val="0042205E"/>
    <w:rsid w:val="00425043"/>
    <w:rsid w:val="0042696B"/>
    <w:rsid w:val="00426D3A"/>
    <w:rsid w:val="00427D24"/>
    <w:rsid w:val="0043331B"/>
    <w:rsid w:val="0043364B"/>
    <w:rsid w:val="00433708"/>
    <w:rsid w:val="00436435"/>
    <w:rsid w:val="004365D4"/>
    <w:rsid w:val="00436FB0"/>
    <w:rsid w:val="00440759"/>
    <w:rsid w:val="0044275C"/>
    <w:rsid w:val="00442DB6"/>
    <w:rsid w:val="00452BB4"/>
    <w:rsid w:val="0045488C"/>
    <w:rsid w:val="00455A75"/>
    <w:rsid w:val="00455EAA"/>
    <w:rsid w:val="00460AD2"/>
    <w:rsid w:val="004610AA"/>
    <w:rsid w:val="0046552D"/>
    <w:rsid w:val="0047237B"/>
    <w:rsid w:val="0047638B"/>
    <w:rsid w:val="004779F4"/>
    <w:rsid w:val="00481A08"/>
    <w:rsid w:val="004877AB"/>
    <w:rsid w:val="00496F06"/>
    <w:rsid w:val="004A2EBC"/>
    <w:rsid w:val="004B2120"/>
    <w:rsid w:val="004B35C0"/>
    <w:rsid w:val="004B4E14"/>
    <w:rsid w:val="004B7B33"/>
    <w:rsid w:val="004D3EC4"/>
    <w:rsid w:val="004D5D2B"/>
    <w:rsid w:val="004D6A79"/>
    <w:rsid w:val="004E2D9E"/>
    <w:rsid w:val="004F5876"/>
    <w:rsid w:val="004F7BD4"/>
    <w:rsid w:val="005000A5"/>
    <w:rsid w:val="0051093F"/>
    <w:rsid w:val="00513863"/>
    <w:rsid w:val="00515AF5"/>
    <w:rsid w:val="00520D27"/>
    <w:rsid w:val="005219F7"/>
    <w:rsid w:val="005263B8"/>
    <w:rsid w:val="0052679F"/>
    <w:rsid w:val="0052725F"/>
    <w:rsid w:val="005340AC"/>
    <w:rsid w:val="00540E27"/>
    <w:rsid w:val="005415A9"/>
    <w:rsid w:val="00541A67"/>
    <w:rsid w:val="005433C0"/>
    <w:rsid w:val="005470E4"/>
    <w:rsid w:val="00552573"/>
    <w:rsid w:val="00554EAB"/>
    <w:rsid w:val="005615B9"/>
    <w:rsid w:val="00562053"/>
    <w:rsid w:val="0056727A"/>
    <w:rsid w:val="00570EF2"/>
    <w:rsid w:val="00572B87"/>
    <w:rsid w:val="0057372A"/>
    <w:rsid w:val="00573D37"/>
    <w:rsid w:val="00576F9A"/>
    <w:rsid w:val="0059225C"/>
    <w:rsid w:val="00592AC1"/>
    <w:rsid w:val="005A1BD9"/>
    <w:rsid w:val="005A363F"/>
    <w:rsid w:val="005A5ACE"/>
    <w:rsid w:val="005A67A6"/>
    <w:rsid w:val="005B1D49"/>
    <w:rsid w:val="005B5848"/>
    <w:rsid w:val="005C1F7C"/>
    <w:rsid w:val="005C222F"/>
    <w:rsid w:val="005C36AF"/>
    <w:rsid w:val="005C3D86"/>
    <w:rsid w:val="005D5A30"/>
    <w:rsid w:val="005D662E"/>
    <w:rsid w:val="005F0A3A"/>
    <w:rsid w:val="005F2EAC"/>
    <w:rsid w:val="005F369C"/>
    <w:rsid w:val="005F4C9E"/>
    <w:rsid w:val="005F4D9A"/>
    <w:rsid w:val="006022B6"/>
    <w:rsid w:val="00603C3D"/>
    <w:rsid w:val="00610D6C"/>
    <w:rsid w:val="006158D2"/>
    <w:rsid w:val="00622996"/>
    <w:rsid w:val="006230E2"/>
    <w:rsid w:val="00632C8F"/>
    <w:rsid w:val="00633ED6"/>
    <w:rsid w:val="00634DB3"/>
    <w:rsid w:val="00636809"/>
    <w:rsid w:val="0063746B"/>
    <w:rsid w:val="00637A63"/>
    <w:rsid w:val="006511C6"/>
    <w:rsid w:val="0065226B"/>
    <w:rsid w:val="00652DF6"/>
    <w:rsid w:val="00652E38"/>
    <w:rsid w:val="00660180"/>
    <w:rsid w:val="006619AC"/>
    <w:rsid w:val="006671C5"/>
    <w:rsid w:val="00673EA8"/>
    <w:rsid w:val="0067459D"/>
    <w:rsid w:val="00674AE8"/>
    <w:rsid w:val="00676223"/>
    <w:rsid w:val="00676B23"/>
    <w:rsid w:val="0067731E"/>
    <w:rsid w:val="00677549"/>
    <w:rsid w:val="00684C38"/>
    <w:rsid w:val="00695209"/>
    <w:rsid w:val="006A543D"/>
    <w:rsid w:val="006A6335"/>
    <w:rsid w:val="006A7637"/>
    <w:rsid w:val="006B03D6"/>
    <w:rsid w:val="006B0F70"/>
    <w:rsid w:val="006B36CD"/>
    <w:rsid w:val="006B486F"/>
    <w:rsid w:val="006B5F8A"/>
    <w:rsid w:val="006B75BA"/>
    <w:rsid w:val="006C56F4"/>
    <w:rsid w:val="006D4977"/>
    <w:rsid w:val="006F0DC7"/>
    <w:rsid w:val="006F1157"/>
    <w:rsid w:val="006F4BBF"/>
    <w:rsid w:val="006F4EA9"/>
    <w:rsid w:val="006F589C"/>
    <w:rsid w:val="006F7C34"/>
    <w:rsid w:val="007001E1"/>
    <w:rsid w:val="00702C8B"/>
    <w:rsid w:val="007033EB"/>
    <w:rsid w:val="00705ABF"/>
    <w:rsid w:val="007104E5"/>
    <w:rsid w:val="0071241F"/>
    <w:rsid w:val="007134BB"/>
    <w:rsid w:val="00722FB5"/>
    <w:rsid w:val="0072379D"/>
    <w:rsid w:val="007260AA"/>
    <w:rsid w:val="007268BA"/>
    <w:rsid w:val="00731158"/>
    <w:rsid w:val="007335FA"/>
    <w:rsid w:val="00733AE5"/>
    <w:rsid w:val="0073658A"/>
    <w:rsid w:val="00742941"/>
    <w:rsid w:val="00751AA3"/>
    <w:rsid w:val="00755547"/>
    <w:rsid w:val="00763175"/>
    <w:rsid w:val="0076424E"/>
    <w:rsid w:val="00764AF7"/>
    <w:rsid w:val="00774558"/>
    <w:rsid w:val="0077695A"/>
    <w:rsid w:val="0079245E"/>
    <w:rsid w:val="00795554"/>
    <w:rsid w:val="007A0541"/>
    <w:rsid w:val="007A0D1E"/>
    <w:rsid w:val="007A1AE1"/>
    <w:rsid w:val="007A3FA7"/>
    <w:rsid w:val="007B1C29"/>
    <w:rsid w:val="007B260A"/>
    <w:rsid w:val="007B328E"/>
    <w:rsid w:val="007B3B3A"/>
    <w:rsid w:val="007B6E4E"/>
    <w:rsid w:val="007C4411"/>
    <w:rsid w:val="007C72D6"/>
    <w:rsid w:val="007D0C2C"/>
    <w:rsid w:val="007D4699"/>
    <w:rsid w:val="007D4CEA"/>
    <w:rsid w:val="007D67E1"/>
    <w:rsid w:val="007E2CF0"/>
    <w:rsid w:val="007F08B4"/>
    <w:rsid w:val="007F24C3"/>
    <w:rsid w:val="00801FEF"/>
    <w:rsid w:val="0080398E"/>
    <w:rsid w:val="00806922"/>
    <w:rsid w:val="00820009"/>
    <w:rsid w:val="00823688"/>
    <w:rsid w:val="0082428E"/>
    <w:rsid w:val="00825D1D"/>
    <w:rsid w:val="00834713"/>
    <w:rsid w:val="00846C14"/>
    <w:rsid w:val="0085089A"/>
    <w:rsid w:val="00854DD5"/>
    <w:rsid w:val="0086134A"/>
    <w:rsid w:val="00863C28"/>
    <w:rsid w:val="00866C47"/>
    <w:rsid w:val="008738E9"/>
    <w:rsid w:val="00884429"/>
    <w:rsid w:val="008920B2"/>
    <w:rsid w:val="00895F08"/>
    <w:rsid w:val="008A3489"/>
    <w:rsid w:val="008B599D"/>
    <w:rsid w:val="008B6892"/>
    <w:rsid w:val="008B7BAF"/>
    <w:rsid w:val="008C5274"/>
    <w:rsid w:val="008C6E92"/>
    <w:rsid w:val="008C7A7E"/>
    <w:rsid w:val="008D3C23"/>
    <w:rsid w:val="008D6BD0"/>
    <w:rsid w:val="008D7529"/>
    <w:rsid w:val="008E0CF7"/>
    <w:rsid w:val="008E689D"/>
    <w:rsid w:val="00902936"/>
    <w:rsid w:val="0090490D"/>
    <w:rsid w:val="00906A3D"/>
    <w:rsid w:val="009159C6"/>
    <w:rsid w:val="00920C2F"/>
    <w:rsid w:val="009328BC"/>
    <w:rsid w:val="009328F7"/>
    <w:rsid w:val="00932B7C"/>
    <w:rsid w:val="00934AC5"/>
    <w:rsid w:val="009350E7"/>
    <w:rsid w:val="009357B3"/>
    <w:rsid w:val="00936F98"/>
    <w:rsid w:val="00942734"/>
    <w:rsid w:val="009453B4"/>
    <w:rsid w:val="009469B8"/>
    <w:rsid w:val="00950580"/>
    <w:rsid w:val="00950FEF"/>
    <w:rsid w:val="00952B61"/>
    <w:rsid w:val="00952EC5"/>
    <w:rsid w:val="009541C4"/>
    <w:rsid w:val="00955F36"/>
    <w:rsid w:val="00956E0B"/>
    <w:rsid w:val="00966028"/>
    <w:rsid w:val="009676EC"/>
    <w:rsid w:val="00970503"/>
    <w:rsid w:val="0097646D"/>
    <w:rsid w:val="00986C47"/>
    <w:rsid w:val="009938F1"/>
    <w:rsid w:val="00993AFF"/>
    <w:rsid w:val="009976ED"/>
    <w:rsid w:val="009A68BF"/>
    <w:rsid w:val="009B3D10"/>
    <w:rsid w:val="009B44FE"/>
    <w:rsid w:val="009B62AD"/>
    <w:rsid w:val="009B7F11"/>
    <w:rsid w:val="009C1B90"/>
    <w:rsid w:val="009D3828"/>
    <w:rsid w:val="009D75BA"/>
    <w:rsid w:val="009E189C"/>
    <w:rsid w:val="009E4368"/>
    <w:rsid w:val="009E44A4"/>
    <w:rsid w:val="009F07FD"/>
    <w:rsid w:val="009F2393"/>
    <w:rsid w:val="00A007A1"/>
    <w:rsid w:val="00A036AF"/>
    <w:rsid w:val="00A20214"/>
    <w:rsid w:val="00A226C6"/>
    <w:rsid w:val="00A2544D"/>
    <w:rsid w:val="00A26F4F"/>
    <w:rsid w:val="00A31DED"/>
    <w:rsid w:val="00A40A10"/>
    <w:rsid w:val="00A43A50"/>
    <w:rsid w:val="00A46089"/>
    <w:rsid w:val="00A50BE9"/>
    <w:rsid w:val="00A52C9F"/>
    <w:rsid w:val="00A5506B"/>
    <w:rsid w:val="00A553C1"/>
    <w:rsid w:val="00A55A3B"/>
    <w:rsid w:val="00A632E7"/>
    <w:rsid w:val="00A633C0"/>
    <w:rsid w:val="00A65040"/>
    <w:rsid w:val="00A738C8"/>
    <w:rsid w:val="00A757CC"/>
    <w:rsid w:val="00A75F1C"/>
    <w:rsid w:val="00A80471"/>
    <w:rsid w:val="00A807E2"/>
    <w:rsid w:val="00A80AD0"/>
    <w:rsid w:val="00A80C8E"/>
    <w:rsid w:val="00A8410F"/>
    <w:rsid w:val="00A86952"/>
    <w:rsid w:val="00A87F4C"/>
    <w:rsid w:val="00A90067"/>
    <w:rsid w:val="00A91204"/>
    <w:rsid w:val="00A913A8"/>
    <w:rsid w:val="00A93BFD"/>
    <w:rsid w:val="00A95636"/>
    <w:rsid w:val="00A9739C"/>
    <w:rsid w:val="00A97B08"/>
    <w:rsid w:val="00A97C0D"/>
    <w:rsid w:val="00AB5762"/>
    <w:rsid w:val="00AC0C77"/>
    <w:rsid w:val="00AC579E"/>
    <w:rsid w:val="00AD1A8F"/>
    <w:rsid w:val="00AD2B76"/>
    <w:rsid w:val="00AD461B"/>
    <w:rsid w:val="00AE0DD0"/>
    <w:rsid w:val="00AE0FCB"/>
    <w:rsid w:val="00AE1939"/>
    <w:rsid w:val="00AE78D5"/>
    <w:rsid w:val="00AF0AB6"/>
    <w:rsid w:val="00AF3CA1"/>
    <w:rsid w:val="00AF568A"/>
    <w:rsid w:val="00AF5B03"/>
    <w:rsid w:val="00AF63BE"/>
    <w:rsid w:val="00AF74CD"/>
    <w:rsid w:val="00B00F4C"/>
    <w:rsid w:val="00B0256B"/>
    <w:rsid w:val="00B0276F"/>
    <w:rsid w:val="00B077C3"/>
    <w:rsid w:val="00B10638"/>
    <w:rsid w:val="00B13116"/>
    <w:rsid w:val="00B13B64"/>
    <w:rsid w:val="00B142C3"/>
    <w:rsid w:val="00B14933"/>
    <w:rsid w:val="00B16832"/>
    <w:rsid w:val="00B16CEC"/>
    <w:rsid w:val="00B17C62"/>
    <w:rsid w:val="00B2178C"/>
    <w:rsid w:val="00B21BD3"/>
    <w:rsid w:val="00B22009"/>
    <w:rsid w:val="00B23A8C"/>
    <w:rsid w:val="00B241B2"/>
    <w:rsid w:val="00B248FB"/>
    <w:rsid w:val="00B25E86"/>
    <w:rsid w:val="00B27F20"/>
    <w:rsid w:val="00B32057"/>
    <w:rsid w:val="00B33970"/>
    <w:rsid w:val="00B367F8"/>
    <w:rsid w:val="00B45CDB"/>
    <w:rsid w:val="00B46210"/>
    <w:rsid w:val="00B50F6B"/>
    <w:rsid w:val="00B518D8"/>
    <w:rsid w:val="00B53206"/>
    <w:rsid w:val="00B555F6"/>
    <w:rsid w:val="00B60244"/>
    <w:rsid w:val="00B602EB"/>
    <w:rsid w:val="00B643D7"/>
    <w:rsid w:val="00B656CE"/>
    <w:rsid w:val="00B74C7A"/>
    <w:rsid w:val="00B830F4"/>
    <w:rsid w:val="00B83B3F"/>
    <w:rsid w:val="00B85FD2"/>
    <w:rsid w:val="00B87444"/>
    <w:rsid w:val="00B9551E"/>
    <w:rsid w:val="00B97AF9"/>
    <w:rsid w:val="00BA1CE1"/>
    <w:rsid w:val="00BA4C0C"/>
    <w:rsid w:val="00BA4EBB"/>
    <w:rsid w:val="00BA5103"/>
    <w:rsid w:val="00BA653C"/>
    <w:rsid w:val="00BA6A57"/>
    <w:rsid w:val="00BA6D67"/>
    <w:rsid w:val="00BB3C13"/>
    <w:rsid w:val="00BB406F"/>
    <w:rsid w:val="00BC3077"/>
    <w:rsid w:val="00BD2122"/>
    <w:rsid w:val="00BD244E"/>
    <w:rsid w:val="00BD4BEC"/>
    <w:rsid w:val="00BE2E0E"/>
    <w:rsid w:val="00BF1354"/>
    <w:rsid w:val="00BF3601"/>
    <w:rsid w:val="00BF4436"/>
    <w:rsid w:val="00C06CCC"/>
    <w:rsid w:val="00C07420"/>
    <w:rsid w:val="00C12F7D"/>
    <w:rsid w:val="00C13F67"/>
    <w:rsid w:val="00C1427D"/>
    <w:rsid w:val="00C14EE3"/>
    <w:rsid w:val="00C20460"/>
    <w:rsid w:val="00C25AE0"/>
    <w:rsid w:val="00C34568"/>
    <w:rsid w:val="00C3621F"/>
    <w:rsid w:val="00C36BED"/>
    <w:rsid w:val="00C41417"/>
    <w:rsid w:val="00C42CAF"/>
    <w:rsid w:val="00C45A00"/>
    <w:rsid w:val="00C46C93"/>
    <w:rsid w:val="00C4780F"/>
    <w:rsid w:val="00C4781A"/>
    <w:rsid w:val="00C50528"/>
    <w:rsid w:val="00C5387B"/>
    <w:rsid w:val="00C54CB6"/>
    <w:rsid w:val="00C56739"/>
    <w:rsid w:val="00C56C2F"/>
    <w:rsid w:val="00C632C1"/>
    <w:rsid w:val="00C642AB"/>
    <w:rsid w:val="00C659B3"/>
    <w:rsid w:val="00C70DA9"/>
    <w:rsid w:val="00C82197"/>
    <w:rsid w:val="00C83075"/>
    <w:rsid w:val="00C900AA"/>
    <w:rsid w:val="00C92FCA"/>
    <w:rsid w:val="00C93AAD"/>
    <w:rsid w:val="00C93CC8"/>
    <w:rsid w:val="00C960BE"/>
    <w:rsid w:val="00C97D73"/>
    <w:rsid w:val="00CA0AC7"/>
    <w:rsid w:val="00CA1755"/>
    <w:rsid w:val="00CA4097"/>
    <w:rsid w:val="00CA4392"/>
    <w:rsid w:val="00CA5C12"/>
    <w:rsid w:val="00CB1379"/>
    <w:rsid w:val="00CB17A0"/>
    <w:rsid w:val="00CB38FD"/>
    <w:rsid w:val="00CB46EC"/>
    <w:rsid w:val="00CB4E34"/>
    <w:rsid w:val="00CB5257"/>
    <w:rsid w:val="00CB734B"/>
    <w:rsid w:val="00CC0D98"/>
    <w:rsid w:val="00CC40CC"/>
    <w:rsid w:val="00CC6281"/>
    <w:rsid w:val="00CC6846"/>
    <w:rsid w:val="00CD0E0A"/>
    <w:rsid w:val="00CD13E0"/>
    <w:rsid w:val="00CD1DEE"/>
    <w:rsid w:val="00CD1E23"/>
    <w:rsid w:val="00CD346B"/>
    <w:rsid w:val="00CE5B38"/>
    <w:rsid w:val="00CF078D"/>
    <w:rsid w:val="00CF0A84"/>
    <w:rsid w:val="00CF0E45"/>
    <w:rsid w:val="00CF3C8F"/>
    <w:rsid w:val="00CF3F7D"/>
    <w:rsid w:val="00CF4F3B"/>
    <w:rsid w:val="00CF5401"/>
    <w:rsid w:val="00CF545D"/>
    <w:rsid w:val="00CF5749"/>
    <w:rsid w:val="00D041EF"/>
    <w:rsid w:val="00D10BF0"/>
    <w:rsid w:val="00D1319D"/>
    <w:rsid w:val="00D145A4"/>
    <w:rsid w:val="00D2583B"/>
    <w:rsid w:val="00D263D8"/>
    <w:rsid w:val="00D31CB5"/>
    <w:rsid w:val="00D35F81"/>
    <w:rsid w:val="00D40031"/>
    <w:rsid w:val="00D45D59"/>
    <w:rsid w:val="00D4785E"/>
    <w:rsid w:val="00D519F5"/>
    <w:rsid w:val="00D51F7D"/>
    <w:rsid w:val="00D53495"/>
    <w:rsid w:val="00D54B53"/>
    <w:rsid w:val="00D568EF"/>
    <w:rsid w:val="00D619C8"/>
    <w:rsid w:val="00D64C13"/>
    <w:rsid w:val="00D661E6"/>
    <w:rsid w:val="00D70E44"/>
    <w:rsid w:val="00D761F3"/>
    <w:rsid w:val="00D7673F"/>
    <w:rsid w:val="00D83467"/>
    <w:rsid w:val="00D83C62"/>
    <w:rsid w:val="00D84222"/>
    <w:rsid w:val="00D85386"/>
    <w:rsid w:val="00D855DE"/>
    <w:rsid w:val="00D92877"/>
    <w:rsid w:val="00DA0A26"/>
    <w:rsid w:val="00DA57BB"/>
    <w:rsid w:val="00DA6DEF"/>
    <w:rsid w:val="00DA7122"/>
    <w:rsid w:val="00DB42D5"/>
    <w:rsid w:val="00DB4E1A"/>
    <w:rsid w:val="00DB6854"/>
    <w:rsid w:val="00DB68DD"/>
    <w:rsid w:val="00DB7D67"/>
    <w:rsid w:val="00DB7E5C"/>
    <w:rsid w:val="00DC489B"/>
    <w:rsid w:val="00DD4276"/>
    <w:rsid w:val="00DD53FF"/>
    <w:rsid w:val="00DD59D7"/>
    <w:rsid w:val="00DD60DA"/>
    <w:rsid w:val="00DF07DC"/>
    <w:rsid w:val="00DF43E7"/>
    <w:rsid w:val="00DF6419"/>
    <w:rsid w:val="00E015CC"/>
    <w:rsid w:val="00E032BF"/>
    <w:rsid w:val="00E03B03"/>
    <w:rsid w:val="00E06F29"/>
    <w:rsid w:val="00E230F2"/>
    <w:rsid w:val="00E24DF3"/>
    <w:rsid w:val="00E250CA"/>
    <w:rsid w:val="00E2715D"/>
    <w:rsid w:val="00E3002F"/>
    <w:rsid w:val="00E30C5C"/>
    <w:rsid w:val="00E34625"/>
    <w:rsid w:val="00E3491B"/>
    <w:rsid w:val="00E36B7D"/>
    <w:rsid w:val="00E4136F"/>
    <w:rsid w:val="00E42B35"/>
    <w:rsid w:val="00E4346B"/>
    <w:rsid w:val="00E46402"/>
    <w:rsid w:val="00E5115A"/>
    <w:rsid w:val="00E5130F"/>
    <w:rsid w:val="00E51826"/>
    <w:rsid w:val="00E56690"/>
    <w:rsid w:val="00E66700"/>
    <w:rsid w:val="00E66D30"/>
    <w:rsid w:val="00E75B34"/>
    <w:rsid w:val="00E81332"/>
    <w:rsid w:val="00E862DF"/>
    <w:rsid w:val="00E90BEB"/>
    <w:rsid w:val="00E95140"/>
    <w:rsid w:val="00E95FB9"/>
    <w:rsid w:val="00EA018D"/>
    <w:rsid w:val="00EA0907"/>
    <w:rsid w:val="00EA111A"/>
    <w:rsid w:val="00EA1934"/>
    <w:rsid w:val="00EA4C60"/>
    <w:rsid w:val="00EA68F4"/>
    <w:rsid w:val="00EB1BB8"/>
    <w:rsid w:val="00EB2F7E"/>
    <w:rsid w:val="00EB3C58"/>
    <w:rsid w:val="00EB5682"/>
    <w:rsid w:val="00EB68C4"/>
    <w:rsid w:val="00EB6A7C"/>
    <w:rsid w:val="00EC3715"/>
    <w:rsid w:val="00EC4BE2"/>
    <w:rsid w:val="00EC5C25"/>
    <w:rsid w:val="00EC68E4"/>
    <w:rsid w:val="00ED2776"/>
    <w:rsid w:val="00EE0277"/>
    <w:rsid w:val="00EE05E8"/>
    <w:rsid w:val="00EE58F8"/>
    <w:rsid w:val="00EF0D24"/>
    <w:rsid w:val="00EF1FF4"/>
    <w:rsid w:val="00EF4C0B"/>
    <w:rsid w:val="00EF5013"/>
    <w:rsid w:val="00F01F7A"/>
    <w:rsid w:val="00F025F3"/>
    <w:rsid w:val="00F11D0C"/>
    <w:rsid w:val="00F131EA"/>
    <w:rsid w:val="00F1484B"/>
    <w:rsid w:val="00F17CCB"/>
    <w:rsid w:val="00F26084"/>
    <w:rsid w:val="00F336A0"/>
    <w:rsid w:val="00F34BA5"/>
    <w:rsid w:val="00F364CD"/>
    <w:rsid w:val="00F41C89"/>
    <w:rsid w:val="00F41E98"/>
    <w:rsid w:val="00F52F28"/>
    <w:rsid w:val="00F53024"/>
    <w:rsid w:val="00F536B5"/>
    <w:rsid w:val="00F53DAF"/>
    <w:rsid w:val="00F56E01"/>
    <w:rsid w:val="00F636C9"/>
    <w:rsid w:val="00F67F5E"/>
    <w:rsid w:val="00F710C2"/>
    <w:rsid w:val="00F73BE4"/>
    <w:rsid w:val="00F77000"/>
    <w:rsid w:val="00F81322"/>
    <w:rsid w:val="00F85F55"/>
    <w:rsid w:val="00F8723E"/>
    <w:rsid w:val="00F91C4C"/>
    <w:rsid w:val="00F92A87"/>
    <w:rsid w:val="00FA09A0"/>
    <w:rsid w:val="00FA4CF0"/>
    <w:rsid w:val="00FB1807"/>
    <w:rsid w:val="00FB3A18"/>
    <w:rsid w:val="00FB3CE5"/>
    <w:rsid w:val="00FB3E55"/>
    <w:rsid w:val="00FB46A5"/>
    <w:rsid w:val="00FC0978"/>
    <w:rsid w:val="00FC18FC"/>
    <w:rsid w:val="00FC770B"/>
    <w:rsid w:val="00FC79CE"/>
    <w:rsid w:val="00FC7AD3"/>
    <w:rsid w:val="00FD060B"/>
    <w:rsid w:val="00FD0914"/>
    <w:rsid w:val="00FD1564"/>
    <w:rsid w:val="00FD3007"/>
    <w:rsid w:val="00FD4691"/>
    <w:rsid w:val="00FD4B29"/>
    <w:rsid w:val="00FE1685"/>
    <w:rsid w:val="00FE739A"/>
    <w:rsid w:val="00FF23E3"/>
    <w:rsid w:val="00FF4AE9"/>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4D8E86-6770-4CBE-9383-0A1DFEDC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109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041096"/>
    <w:rPr>
      <w:rFonts w:ascii="金山简黑体" w:eastAsia="Times New Roman" w:hAnsi="金山简黑体" w:cs="Courier New"/>
      <w:b/>
      <w:spacing w:val="-50"/>
      <w:sz w:val="44"/>
      <w:szCs w:val="20"/>
      <w:lang w:val="zh-CN"/>
    </w:rPr>
  </w:style>
  <w:style w:type="character" w:customStyle="1" w:styleId="a4">
    <w:name w:val="正文文本 字符"/>
    <w:basedOn w:val="a0"/>
    <w:link w:val="a3"/>
    <w:rsid w:val="00041096"/>
    <w:rPr>
      <w:rFonts w:ascii="金山简黑体" w:eastAsia="Times New Roman" w:hAnsi="金山简黑体" w:cs="Courier New"/>
      <w:b/>
      <w:spacing w:val="-50"/>
      <w:sz w:val="44"/>
      <w:szCs w:val="20"/>
      <w:lang w:val="zh-CN"/>
    </w:rPr>
  </w:style>
  <w:style w:type="table" w:customStyle="1" w:styleId="11">
    <w:name w:val="网格型11"/>
    <w:basedOn w:val="a1"/>
    <w:uiPriority w:val="39"/>
    <w:qFormat/>
    <w:rsid w:val="0004109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D75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D7529"/>
    <w:rPr>
      <w:sz w:val="18"/>
      <w:szCs w:val="18"/>
    </w:rPr>
  </w:style>
  <w:style w:type="paragraph" w:styleId="a7">
    <w:name w:val="footer"/>
    <w:basedOn w:val="a"/>
    <w:link w:val="a8"/>
    <w:uiPriority w:val="99"/>
    <w:unhideWhenUsed/>
    <w:rsid w:val="008D7529"/>
    <w:pPr>
      <w:tabs>
        <w:tab w:val="center" w:pos="4153"/>
        <w:tab w:val="right" w:pos="8306"/>
      </w:tabs>
      <w:snapToGrid w:val="0"/>
      <w:jc w:val="left"/>
    </w:pPr>
    <w:rPr>
      <w:sz w:val="18"/>
      <w:szCs w:val="18"/>
    </w:rPr>
  </w:style>
  <w:style w:type="character" w:customStyle="1" w:styleId="a8">
    <w:name w:val="页脚 字符"/>
    <w:basedOn w:val="a0"/>
    <w:link w:val="a7"/>
    <w:uiPriority w:val="99"/>
    <w:rsid w:val="008D75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2025-11-26T07:57:00Z</dcterms:created>
  <dcterms:modified xsi:type="dcterms:W3CDTF">2025-11-26T08:48:00Z</dcterms:modified>
</cp:coreProperties>
</file>