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EC06F">
      <w:pP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</w:p>
    <w:p w14:paraId="69D0E9F1">
      <w:pP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</w:p>
    <w:p w14:paraId="2C3C167A">
      <w:pPr>
        <w:bidi w:val="0"/>
        <w:rPr>
          <w:rFonts w:hint="eastAsia" w:asciiTheme="majorEastAsia" w:hAnsiTheme="majorEastAsia" w:eastAsiaTheme="majorEastAsia" w:cstheme="majorEastAsia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1"/>
          <w:szCs w:val="21"/>
          <w:lang w:val="en-US" w:eastAsia="zh-CN"/>
        </w:rPr>
        <w:t>附件2：</w:t>
      </w:r>
    </w:p>
    <w:p w14:paraId="0F13C4A3">
      <w:pPr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lang w:val="en-US" w:eastAsia="zh-CN"/>
        </w:rPr>
        <w:t>采购需求报价</w:t>
      </w:r>
    </w:p>
    <w:p w14:paraId="273ED2F2">
      <w:pPr>
        <w:pStyle w:val="5"/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val="en-US" w:eastAsia="zh-CN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536"/>
        <w:gridCol w:w="448"/>
        <w:gridCol w:w="104"/>
        <w:gridCol w:w="514"/>
        <w:gridCol w:w="636"/>
        <w:gridCol w:w="636"/>
        <w:gridCol w:w="891"/>
        <w:gridCol w:w="3118"/>
        <w:gridCol w:w="1199"/>
      </w:tblGrid>
      <w:tr w14:paraId="44071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3" w:type="dxa"/>
            <w:gridSpan w:val="9"/>
          </w:tcPr>
          <w:p w14:paraId="39E8AAAA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技术需求表</w:t>
            </w:r>
          </w:p>
        </w:tc>
        <w:tc>
          <w:tcPr>
            <w:tcW w:w="1199" w:type="dxa"/>
            <w:vAlign w:val="center"/>
          </w:tcPr>
          <w:p w14:paraId="2F5CA48C">
            <w:pPr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</w:p>
        </w:tc>
      </w:tr>
      <w:tr w14:paraId="1A3A4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0" w:type="dxa"/>
            <w:vAlign w:val="center"/>
          </w:tcPr>
          <w:p w14:paraId="641E2A50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项号</w:t>
            </w:r>
          </w:p>
          <w:p w14:paraId="37EE573B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</w:p>
        </w:tc>
        <w:tc>
          <w:tcPr>
            <w:tcW w:w="536" w:type="dxa"/>
            <w:vAlign w:val="center"/>
          </w:tcPr>
          <w:p w14:paraId="26185633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标的名称</w:t>
            </w:r>
          </w:p>
        </w:tc>
        <w:tc>
          <w:tcPr>
            <w:tcW w:w="448" w:type="dxa"/>
            <w:vAlign w:val="center"/>
          </w:tcPr>
          <w:p w14:paraId="010AB1E3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618" w:type="dxa"/>
            <w:gridSpan w:val="2"/>
            <w:vAlign w:val="center"/>
          </w:tcPr>
          <w:p w14:paraId="0D908BDA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数量</w:t>
            </w:r>
          </w:p>
        </w:tc>
        <w:tc>
          <w:tcPr>
            <w:tcW w:w="636" w:type="dxa"/>
            <w:vAlign w:val="center"/>
          </w:tcPr>
          <w:p w14:paraId="14BDD3E8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单价（万元）</w:t>
            </w:r>
          </w:p>
        </w:tc>
        <w:tc>
          <w:tcPr>
            <w:tcW w:w="636" w:type="dxa"/>
            <w:vAlign w:val="center"/>
          </w:tcPr>
          <w:p w14:paraId="103B2DAC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合计（万元）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20C50B3C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品牌、型号</w:t>
            </w:r>
          </w:p>
        </w:tc>
        <w:tc>
          <w:tcPr>
            <w:tcW w:w="3118" w:type="dxa"/>
            <w:vAlign w:val="center"/>
          </w:tcPr>
          <w:p w14:paraId="6A86A640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技术参数及性能（配置）要求</w:t>
            </w:r>
          </w:p>
        </w:tc>
        <w:tc>
          <w:tcPr>
            <w:tcW w:w="1199" w:type="dxa"/>
            <w:vAlign w:val="center"/>
          </w:tcPr>
          <w:p w14:paraId="157C3C6D">
            <w:pPr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响应说明</w:t>
            </w:r>
          </w:p>
        </w:tc>
      </w:tr>
      <w:tr w14:paraId="0EE77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0" w:hRule="atLeast"/>
        </w:trPr>
        <w:tc>
          <w:tcPr>
            <w:tcW w:w="440" w:type="dxa"/>
            <w:shd w:val="clear" w:color="auto" w:fill="auto"/>
            <w:vAlign w:val="center"/>
          </w:tcPr>
          <w:p w14:paraId="17D8C691">
            <w:pPr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1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260155C1">
            <w:pPr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校园邮服务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27C34367">
            <w:pPr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618" w:type="dxa"/>
            <w:gridSpan w:val="2"/>
            <w:shd w:val="clear" w:color="auto" w:fill="auto"/>
            <w:vAlign w:val="center"/>
          </w:tcPr>
          <w:p w14:paraId="2EDF20F6">
            <w:pPr>
              <w:ind w:firstLine="105" w:firstLineChars="50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49768258">
            <w:pPr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14:paraId="618B6CB6">
            <w:pPr>
              <w:ind w:firstLine="105" w:firstLineChars="50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0BABB07C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</w:p>
          <w:p w14:paraId="1D2158E3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</w:p>
          <w:p w14:paraId="140DDF28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</w:p>
          <w:p w14:paraId="7F8937F8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</w:p>
          <w:p w14:paraId="585C0CB3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</w:p>
          <w:p w14:paraId="4E7D173B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</w:p>
          <w:p w14:paraId="5BCAB80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6661C936">
            <w:pP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本要求中标注“▲”号的条款必须满足，对不能满足参数要求虚假响应，或者无法正常交货影响使用的，采购人将作为废标处理，并上报上级监管机构追究成交供应商虚假应标责任。</w:t>
            </w:r>
          </w:p>
          <w:p w14:paraId="43621D74">
            <w:pP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</w:rPr>
              <w:t>一、系统功能要求</w:t>
            </w:r>
          </w:p>
          <w:p w14:paraId="7D37A0F3">
            <w:pP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</w:rPr>
              <w:t>1.邮箱账号数量要求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：教职工账号数：7000个；在校生及校友账号数：无限制。在服务期内，满足采购人教职员工、在校生及校友使用邮件系统收发邮件的要求，在校生及校友的功能及权益不低于教职工邮箱的。</w:t>
            </w:r>
          </w:p>
          <w:p w14:paraId="0C89445A">
            <w:pP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</w:rPr>
              <w:t>.安全功能要求</w:t>
            </w:r>
          </w:p>
          <w:p w14:paraId="3A2EFD6C">
            <w:pP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（1）▲提供全程SSL 邮件加密功能保证通信安全，包括Web、SMTP、POP3、IMAP等登录方式，支持强制使用加密端口。</w:t>
            </w:r>
          </w:p>
          <w:p w14:paraId="59AAE36C">
            <w:pP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（2）提供良好且稳定的邮件收发服务。要求支持SMTP、POP3、IMAP 等邮件协议，支持Web、官方电脑客户端、官方移动客户端、Foxmail和Outlook等多种访问方式。</w:t>
            </w:r>
          </w:p>
          <w:p w14:paraId="09BFAF44">
            <w:pP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（3）服务器的所有端口均进行加密传输。</w:t>
            </w:r>
          </w:p>
          <w:p w14:paraId="62A50CDD">
            <w:pP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（4）支持邮件内容加密。</w:t>
            </w:r>
          </w:p>
          <w:p w14:paraId="223E466D">
            <w:pP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（5）提供复杂密码安全策略，用户密码错误次数达到一定次数时，该操作IP 会被锁定一小时，防止恶意登录。</w:t>
            </w:r>
          </w:p>
          <w:p w14:paraId="3323E5F1">
            <w:pP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（6）提供手机短信验证码的登录验证功能和客户端授权密码功能，加强用户邮箱安全。</w:t>
            </w:r>
          </w:p>
          <w:p w14:paraId="12016A00">
            <w:pP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（7）可自定义IP 登录策略，可根据不同成员的情况，按IP和地区限制用户登录区域。</w:t>
            </w:r>
          </w:p>
          <w:p w14:paraId="7D0CDE16">
            <w:pP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（8）▲支持绑定动态验证码，通过动态验证码进行二次身份认证登录。</w:t>
            </w:r>
          </w:p>
          <w:p w14:paraId="35727F68">
            <w:pP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（9）可管理多种用户使用权限，提高用户使用安全。</w:t>
            </w:r>
          </w:p>
          <w:p w14:paraId="3FDF95E8">
            <w:pPr>
              <w:pStyle w:val="13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（10）▲异地登录提醒支持英文版。</w:t>
            </w:r>
          </w:p>
          <w:p w14:paraId="4D2A82C0">
            <w:pPr>
              <w:pStyle w:val="13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（11）▲邮件系统通过国家级权威安全级别认证机构测评并获得相应EAL 3+等级证书；</w:t>
            </w:r>
          </w:p>
          <w:p w14:paraId="6726BEC5">
            <w:pPr>
              <w:pStyle w:val="13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（12）▲支持DMARC防伪造协议,同时提供可视化dmarc后台管理界面及日志查询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。</w:t>
            </w:r>
          </w:p>
          <w:p w14:paraId="15CFDFB6">
            <w:pP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</w:rPr>
              <w:t>.反垃圾邮件功能要求</w:t>
            </w:r>
          </w:p>
          <w:p w14:paraId="105B257A">
            <w:pP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（1）具有合理的反垃圾邮件规则、黑白名单等反垃圾邮件措施。</w:t>
            </w:r>
          </w:p>
          <w:p w14:paraId="3A693EE9">
            <w:pP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（2）具有域级别和用户级别的双重反垃圾策略。</w:t>
            </w:r>
          </w:p>
          <w:p w14:paraId="523CFC07">
            <w:pP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（3）具有邮件隔离功能，用户可自助找回被反垃圾邮件拒收的邮件。</w:t>
            </w:r>
          </w:p>
          <w:p w14:paraId="20F877A5">
            <w:pP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（4）提供反垃圾技术支持服务，可针对校方的使用反馈，动态调整反垃圾策略。</w:t>
            </w:r>
          </w:p>
          <w:p w14:paraId="09BE648F">
            <w:pP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（5）支持DMARC、DKIM、SPF 等国际上通用的最新反垃圾</w:t>
            </w:r>
          </w:p>
          <w:p w14:paraId="012FD291">
            <w:pP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技术。</w:t>
            </w:r>
          </w:p>
          <w:p w14:paraId="2908448F">
            <w:pP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</w:rPr>
              <w:t>.海外转发功能要求</w:t>
            </w:r>
          </w:p>
          <w:p w14:paraId="675AB5A5">
            <w:pP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（1）要求具有大量绿色优质IP 资源确保海外投递；</w:t>
            </w:r>
          </w:p>
          <w:p w14:paraId="32FAFAC4">
            <w:pP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（2）支持海外智能解析链路技术；</w:t>
            </w:r>
          </w:p>
          <w:p w14:paraId="1BD8DC3E">
            <w:pP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</w:rPr>
              <w:t>二、系统技术需求</w:t>
            </w:r>
          </w:p>
          <w:p w14:paraId="5104B064">
            <w:pP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容量：邮箱容量无限，超大附件16G ，普通附件100M，</w:t>
            </w:r>
          </w:p>
          <w:p w14:paraId="772B2015">
            <w:pP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单个附件文件支持3G。</w:t>
            </w:r>
          </w:p>
          <w:p w14:paraId="30E5543E">
            <w:pP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▲网盘：提供每个账户独享个人网盘容量不少于5GB，网盘文件永久保存，无需手动续期，支持企业管理员对个人网盘统一开启和关闭。支持网页、邮件客户端APP访问个人网盘。</w:t>
            </w:r>
          </w:p>
          <w:p w14:paraId="4A649DC1">
            <w:pP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▲支持30秒内发信取消功能</w:t>
            </w:r>
          </w:p>
          <w:p w14:paraId="6DB4187E">
            <w:pP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邮件到达通知：可实现手机短信、移动客户端等多种邮件到达通知方式。</w:t>
            </w:r>
          </w:p>
          <w:p w14:paraId="643FD681">
            <w:pP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系统集成：提供开放接口，可与采购人的信息系统进行系统对接和整合，实现用户数据同步与单点登录。</w:t>
            </w:r>
          </w:p>
          <w:p w14:paraId="1D384B3E">
            <w:pP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密码重置：用户可以通过手机短信方式或将军令自助重置密码。</w:t>
            </w:r>
          </w:p>
          <w:p w14:paraId="3218DEF6">
            <w:pP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▲提供分级管理员权限查询，可根据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账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号名、管理角色名、管理部门、所属部门等条件查询对应管理权限信息。</w:t>
            </w:r>
          </w:p>
          <w:p w14:paraId="6328F6E6">
            <w:pP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支持设置分级管理员。分级管理员角色的权限，可以勾选。</w:t>
            </w:r>
          </w:p>
          <w:p w14:paraId="15F41DC4">
            <w:pP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支持企业自主进行域名管理，管理员可在管理后台添加/删除/修改所有的企业域名和域别名。</w:t>
            </w:r>
          </w:p>
          <w:p w14:paraId="09B08239">
            <w:pP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10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权限管理：可设定成员邮件自动转发权限、组织通讯录使用权限、客户端使用权限、域内外收发等权限。</w:t>
            </w:r>
          </w:p>
          <w:p w14:paraId="7056E9E9">
            <w:pP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内容搜索：支持全文搜索，准确快速的找到用户所需要的信息。</w:t>
            </w:r>
          </w:p>
          <w:p w14:paraId="13A34AA2">
            <w:pP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▲支持附件统一归类管理，可以在附件管理单独查询附件，或根据附件类型进行过滤查询邮件。</w:t>
            </w:r>
          </w:p>
          <w:p w14:paraId="531813C9">
            <w:pP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13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▲支持管理员在管理后台查看因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账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号被盗发垃圾邮件而被系统禁用的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Cs w:val="21"/>
                <w:lang w:val="en-US" w:eastAsia="zh-CN"/>
              </w:rPr>
              <w:t>账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号并操作解禁。</w:t>
            </w:r>
          </w:p>
          <w:p w14:paraId="651DC972">
            <w:pP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14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支持通过PC、手机（安卓、苹果及其他）、平版电脑等多种终端使用。</w:t>
            </w:r>
          </w:p>
          <w:p w14:paraId="318D8A75">
            <w:pP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15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▲定制的邮箱登录页面，企业自定义欢迎信。</w:t>
            </w:r>
          </w:p>
          <w:p w14:paraId="1FA05528">
            <w:pP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16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支持邮件正文翻译功能。</w:t>
            </w:r>
          </w:p>
          <w:p w14:paraId="4A1AC1D9">
            <w:pP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17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▲支持域内邮件删除。管理员在管理后台即可查询并批量操作域内邮件删除。该功能必须有安全规范机制。不允许为管理员设置默认开通，管理员必须通过企业申请盖章确认后方可开通使用。</w:t>
            </w:r>
          </w:p>
          <w:p w14:paraId="22DF9315">
            <w:pP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支持提供自主邮件客户端，提供专有协议，支持一键客户端设置。</w:t>
            </w:r>
          </w:p>
          <w:p w14:paraId="606C6358">
            <w:pP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19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提供服务的邮件系统无故障率不低于99.9%。</w:t>
            </w:r>
          </w:p>
          <w:p w14:paraId="1BE46916">
            <w:pP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邮件系统网络联通率不低于99.9％。</w:t>
            </w:r>
          </w:p>
          <w:p w14:paraId="6590A95B">
            <w:pP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21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邮件病毒平均查出比率不低于99%，邮件病毒平均杀除率不低于99%，垃圾邮件过滤率不低于97％，商业邮件误判率不高于0.01% 。</w:t>
            </w:r>
          </w:p>
          <w:p w14:paraId="1E2A5508">
            <w:pPr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9" w:type="dxa"/>
            <w:vAlign w:val="center"/>
          </w:tcPr>
          <w:p w14:paraId="6206ACFE">
            <w:pPr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</w:p>
          <w:p w14:paraId="003B7835">
            <w:pPr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</w:p>
        </w:tc>
      </w:tr>
      <w:tr w14:paraId="377A0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 w14:paraId="1DB82ADF">
            <w:pP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</w:p>
        </w:tc>
        <w:tc>
          <w:tcPr>
            <w:tcW w:w="6883" w:type="dxa"/>
            <w:gridSpan w:val="8"/>
          </w:tcPr>
          <w:p w14:paraId="5ABCB38A">
            <w:pP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</w:rPr>
              <w:t>总价：</w:t>
            </w:r>
          </w:p>
        </w:tc>
        <w:tc>
          <w:tcPr>
            <w:tcW w:w="1199" w:type="dxa"/>
            <w:vAlign w:val="center"/>
          </w:tcPr>
          <w:p w14:paraId="21B46B63">
            <w:pPr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</w:p>
        </w:tc>
      </w:tr>
      <w:tr w14:paraId="64037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3" w:type="dxa"/>
            <w:gridSpan w:val="9"/>
          </w:tcPr>
          <w:p w14:paraId="1BCDFB5F">
            <w:pP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1"/>
                <w:szCs w:val="21"/>
              </w:rPr>
              <w:t>商务要求表：</w:t>
            </w:r>
          </w:p>
        </w:tc>
        <w:tc>
          <w:tcPr>
            <w:tcW w:w="1199" w:type="dxa"/>
            <w:vAlign w:val="center"/>
          </w:tcPr>
          <w:p w14:paraId="42E98872">
            <w:pPr>
              <w:jc w:val="both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1"/>
                <w:szCs w:val="21"/>
              </w:rPr>
              <w:t>响应说明</w:t>
            </w:r>
          </w:p>
        </w:tc>
      </w:tr>
      <w:tr w14:paraId="49DB9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gridSpan w:val="4"/>
            <w:vAlign w:val="center"/>
          </w:tcPr>
          <w:p w14:paraId="6B960A1A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</w:rPr>
              <w:t>合同签订时间</w:t>
            </w:r>
          </w:p>
        </w:tc>
        <w:tc>
          <w:tcPr>
            <w:tcW w:w="5795" w:type="dxa"/>
            <w:gridSpan w:val="5"/>
            <w:vAlign w:val="center"/>
          </w:tcPr>
          <w:p w14:paraId="57953671">
            <w:pPr>
              <w:spacing w:line="240" w:lineRule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自成交结果确定之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日起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个工作日内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。</w:t>
            </w:r>
          </w:p>
        </w:tc>
        <w:tc>
          <w:tcPr>
            <w:tcW w:w="1199" w:type="dxa"/>
            <w:vAlign w:val="center"/>
          </w:tcPr>
          <w:p w14:paraId="7EBBC96D">
            <w:pPr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</w:p>
        </w:tc>
      </w:tr>
      <w:tr w14:paraId="23E3B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gridSpan w:val="4"/>
            <w:vAlign w:val="center"/>
          </w:tcPr>
          <w:p w14:paraId="6BC23497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</w:rPr>
              <w:t>合同服务期</w:t>
            </w:r>
          </w:p>
        </w:tc>
        <w:tc>
          <w:tcPr>
            <w:tcW w:w="5795" w:type="dxa"/>
            <w:gridSpan w:val="5"/>
            <w:vAlign w:val="center"/>
          </w:tcPr>
          <w:p w14:paraId="10A82400">
            <w:pPr>
              <w:spacing w:line="240" w:lineRule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1年</w:t>
            </w:r>
          </w:p>
        </w:tc>
        <w:tc>
          <w:tcPr>
            <w:tcW w:w="1199" w:type="dxa"/>
            <w:vAlign w:val="center"/>
          </w:tcPr>
          <w:p w14:paraId="2B60F941">
            <w:pPr>
              <w:tabs>
                <w:tab w:val="left" w:pos="420"/>
              </w:tabs>
              <w:wordWrap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4EC2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gridSpan w:val="4"/>
            <w:vAlign w:val="center"/>
          </w:tcPr>
          <w:p w14:paraId="473445B2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</w:rPr>
              <w:t>服务起止时间</w:t>
            </w:r>
          </w:p>
        </w:tc>
        <w:tc>
          <w:tcPr>
            <w:tcW w:w="5795" w:type="dxa"/>
            <w:gridSpan w:val="5"/>
            <w:vAlign w:val="center"/>
          </w:tcPr>
          <w:p w14:paraId="26398C39">
            <w:pPr>
              <w:spacing w:line="240" w:lineRule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2025年10月19日至2026年10月18日</w:t>
            </w:r>
          </w:p>
        </w:tc>
        <w:tc>
          <w:tcPr>
            <w:tcW w:w="1199" w:type="dxa"/>
            <w:vAlign w:val="center"/>
          </w:tcPr>
          <w:p w14:paraId="730133B4">
            <w:pPr>
              <w:tabs>
                <w:tab w:val="left" w:pos="420"/>
              </w:tabs>
              <w:wordWrap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7937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gridSpan w:val="4"/>
            <w:vAlign w:val="center"/>
          </w:tcPr>
          <w:p w14:paraId="61BD96EF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</w:rPr>
              <w:t>交货时间</w:t>
            </w:r>
          </w:p>
          <w:p w14:paraId="78E653BF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</w:rPr>
              <w:t>及地点</w:t>
            </w:r>
          </w:p>
        </w:tc>
        <w:tc>
          <w:tcPr>
            <w:tcW w:w="5795" w:type="dxa"/>
            <w:gridSpan w:val="5"/>
            <w:vAlign w:val="center"/>
          </w:tcPr>
          <w:p w14:paraId="17E46E04">
            <w:pPr>
              <w:tabs>
                <w:tab w:val="left" w:pos="420"/>
              </w:tabs>
              <w:wordWrap w:val="0"/>
              <w:spacing w:line="240" w:lineRule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交货时间：服务起算之日前完成交付。</w:t>
            </w:r>
          </w:p>
          <w:p w14:paraId="429C93DA">
            <w:pPr>
              <w:spacing w:line="240" w:lineRule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交货地点：南宁市内采购人指定地点。</w:t>
            </w:r>
          </w:p>
        </w:tc>
        <w:tc>
          <w:tcPr>
            <w:tcW w:w="1199" w:type="dxa"/>
            <w:vAlign w:val="center"/>
          </w:tcPr>
          <w:p w14:paraId="3553E0A0">
            <w:pPr>
              <w:tabs>
                <w:tab w:val="left" w:pos="420"/>
              </w:tabs>
              <w:wordWrap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</w:p>
        </w:tc>
      </w:tr>
      <w:tr w14:paraId="0245A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gridSpan w:val="4"/>
            <w:vAlign w:val="center"/>
          </w:tcPr>
          <w:p w14:paraId="02239228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1"/>
                <w:szCs w:val="21"/>
              </w:rPr>
              <w:t>付款方式</w:t>
            </w:r>
          </w:p>
        </w:tc>
        <w:tc>
          <w:tcPr>
            <w:tcW w:w="5795" w:type="dxa"/>
            <w:gridSpan w:val="5"/>
            <w:vAlign w:val="center"/>
          </w:tcPr>
          <w:p w14:paraId="21A4F82A">
            <w:pPr>
              <w:spacing w:line="240" w:lineRule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成交供应商所提供的服务经采购人验收合格后，采购人凭成交供应商开具的增值税发票按银行转账方式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一次性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支付合同款。</w:t>
            </w:r>
          </w:p>
        </w:tc>
        <w:tc>
          <w:tcPr>
            <w:tcW w:w="1199" w:type="dxa"/>
            <w:vAlign w:val="center"/>
          </w:tcPr>
          <w:p w14:paraId="2A65A169">
            <w:pPr>
              <w:tabs>
                <w:tab w:val="left" w:pos="420"/>
              </w:tabs>
              <w:wordWrap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D10D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737FE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1"/>
                <w:szCs w:val="21"/>
              </w:rPr>
              <w:t>售后服务要求</w:t>
            </w:r>
          </w:p>
        </w:tc>
        <w:tc>
          <w:tcPr>
            <w:tcW w:w="57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B92BC">
            <w:pPr>
              <w:spacing w:line="240" w:lineRule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1、提供1年服务期内的软件维护及升级服务。</w:t>
            </w:r>
          </w:p>
          <w:p w14:paraId="7283D269">
            <w:pPr>
              <w:spacing w:line="240" w:lineRule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2、服务期内不定期向采购人提供有关产品最新功能描述、产品使用技巧、用户实例、最新研究动态等内容和其他相关资料。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3、提供售后服务：</w:t>
            </w:r>
          </w:p>
          <w:p w14:paraId="78FCB7AE">
            <w:pPr>
              <w:spacing w:line="240" w:lineRule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 xml:space="preserve">     （1）成交供应商配备提供7*8小时专属微信群服务；</w:t>
            </w:r>
          </w:p>
          <w:p w14:paraId="61DB422D">
            <w:pPr>
              <w:spacing w:line="240" w:lineRule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 xml:space="preserve">     （2）提供热线电话服务，支持7*24小时热线服务；</w:t>
            </w:r>
          </w:p>
          <w:p w14:paraId="1D189F65">
            <w:pPr>
              <w:spacing w:line="240" w:lineRule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 xml:space="preserve">     （3）提供客服邮箱工单服务，邮件工单问题24小时内完成回复处理。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51044">
            <w:pPr>
              <w:tabs>
                <w:tab w:val="left" w:pos="420"/>
              </w:tabs>
              <w:wordWrap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</w:p>
        </w:tc>
      </w:tr>
      <w:tr w14:paraId="2C663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82DBE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1"/>
                <w:szCs w:val="21"/>
              </w:rPr>
              <w:t>其他要求</w:t>
            </w:r>
          </w:p>
        </w:tc>
        <w:tc>
          <w:tcPr>
            <w:tcW w:w="57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8DE71">
            <w:pPr>
              <w:spacing w:line="240" w:lineRule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▲1、投标人</w:t>
            </w:r>
            <w:r>
              <w:rPr>
                <w:rFonts w:hint="eastAsia"/>
                <w:color w:val="auto"/>
                <w:lang w:val="en-US" w:eastAsia="zh-CN"/>
              </w:rPr>
              <w:t>需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在投标文件中提供相关材料截图（加盖公章）供核验，如采购小组要求现场功能演示，则投标人按要求进行演示。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如达不到要求，采购人可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单方面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取消供应商报价资格，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并按评分顺序选择供应商，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追究投标供应商虚假应标责任。</w:t>
            </w:r>
          </w:p>
          <w:p w14:paraId="7D4CE7EF">
            <w:pPr>
              <w:spacing w:line="240" w:lineRule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▲2、本项目按服务总价包干，为交钥匙工程，采购人不对项目服务、货物、施工等一切内容追加支付费用，而由成交供应商在合同价内全部提供或解决，报价必须含以下部分：</w:t>
            </w:r>
          </w:p>
          <w:p w14:paraId="0B00EC2F">
            <w:pPr>
              <w:spacing w:line="240" w:lineRule="auto"/>
              <w:ind w:firstLine="420" w:firstLineChars="200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（1）服务的价格；</w:t>
            </w:r>
          </w:p>
          <w:p w14:paraId="35BD7A0C">
            <w:pPr>
              <w:spacing w:line="240" w:lineRule="auto"/>
              <w:ind w:firstLine="420" w:firstLineChars="200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（2）必要的保险费用和各项税金；</w:t>
            </w:r>
          </w:p>
          <w:p w14:paraId="06074FB1">
            <w:pPr>
              <w:spacing w:line="240" w:lineRule="auto"/>
              <w:ind w:firstLine="420" w:firstLineChars="200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（3）安装、调试、培训、技术支持、售后服务、更新升级等费用；</w:t>
            </w:r>
          </w:p>
          <w:p w14:paraId="086C64A6">
            <w:pPr>
              <w:spacing w:line="240" w:lineRule="auto"/>
              <w:ind w:firstLine="420" w:firstLineChars="200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（4）验收时的专家服务费和采购代理费用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。</w:t>
            </w:r>
          </w:p>
          <w:p w14:paraId="205A6012">
            <w:pPr>
              <w:spacing w:line="240" w:lineRule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3、标注“▲”号的条款必须满足，对不能满足参数要求虚假响应，或者无法正常交货影响使用的，采购人将作为废标处理，并上报上级监管机构追究成交供应商虚假应标责任。</w:t>
            </w:r>
          </w:p>
          <w:p w14:paraId="3BAAE0ED">
            <w:pPr>
              <w:spacing w:line="240" w:lineRule="auto"/>
              <w:ind w:firstLine="210" w:firstLineChars="100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</w:p>
          <w:p w14:paraId="106E11C1">
            <w:pPr>
              <w:spacing w:line="240" w:lineRule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BEA65">
            <w:pPr>
              <w:tabs>
                <w:tab w:val="left" w:pos="420"/>
              </w:tabs>
              <w:wordWrap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</w:p>
        </w:tc>
      </w:tr>
    </w:tbl>
    <w:p w14:paraId="6EC88396">
      <w:pPr>
        <w:pStyle w:val="5"/>
        <w:rPr>
          <w:rFonts w:hint="eastAsia"/>
          <w:color w:val="auto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val="en-US" w:eastAsia="zh-CN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金山简黑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@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8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5ZWUyZWUwOTI4YTg0ODAyN2FjMzE5MGIyYTNhYzkifQ=="/>
  </w:docVars>
  <w:rsids>
    <w:rsidRoot w:val="FF4E39D1"/>
    <w:rsid w:val="022E44A8"/>
    <w:rsid w:val="02835D25"/>
    <w:rsid w:val="03321D76"/>
    <w:rsid w:val="043553B6"/>
    <w:rsid w:val="05082700"/>
    <w:rsid w:val="052971A9"/>
    <w:rsid w:val="05791739"/>
    <w:rsid w:val="07990616"/>
    <w:rsid w:val="080D3795"/>
    <w:rsid w:val="08E41D65"/>
    <w:rsid w:val="0BD53BE7"/>
    <w:rsid w:val="0D906A9C"/>
    <w:rsid w:val="0DF76096"/>
    <w:rsid w:val="0E9E4764"/>
    <w:rsid w:val="10336B36"/>
    <w:rsid w:val="106A0DA2"/>
    <w:rsid w:val="1283439D"/>
    <w:rsid w:val="12B46304"/>
    <w:rsid w:val="13B862C8"/>
    <w:rsid w:val="141B6E25"/>
    <w:rsid w:val="153E45AB"/>
    <w:rsid w:val="17A80401"/>
    <w:rsid w:val="17CA65CA"/>
    <w:rsid w:val="18356139"/>
    <w:rsid w:val="18567E35"/>
    <w:rsid w:val="18F63585"/>
    <w:rsid w:val="19A31EA5"/>
    <w:rsid w:val="1A085187"/>
    <w:rsid w:val="1B746F78"/>
    <w:rsid w:val="1B944F25"/>
    <w:rsid w:val="1CAB69CA"/>
    <w:rsid w:val="1D214EDE"/>
    <w:rsid w:val="1FE43FA1"/>
    <w:rsid w:val="20494024"/>
    <w:rsid w:val="273B4DEE"/>
    <w:rsid w:val="281F1861"/>
    <w:rsid w:val="2AE21E94"/>
    <w:rsid w:val="2BCE6F53"/>
    <w:rsid w:val="2D8D7A26"/>
    <w:rsid w:val="2EC465DF"/>
    <w:rsid w:val="30C23AE8"/>
    <w:rsid w:val="32891103"/>
    <w:rsid w:val="33521509"/>
    <w:rsid w:val="35D817EB"/>
    <w:rsid w:val="363E0457"/>
    <w:rsid w:val="37FF5E07"/>
    <w:rsid w:val="38543F62"/>
    <w:rsid w:val="3951224F"/>
    <w:rsid w:val="39513FFD"/>
    <w:rsid w:val="3B762441"/>
    <w:rsid w:val="3DC079A3"/>
    <w:rsid w:val="3FAE4392"/>
    <w:rsid w:val="3FBF2E9C"/>
    <w:rsid w:val="3FFFD377"/>
    <w:rsid w:val="41265D6F"/>
    <w:rsid w:val="42466FA3"/>
    <w:rsid w:val="425749BB"/>
    <w:rsid w:val="431A31C0"/>
    <w:rsid w:val="445C2B3E"/>
    <w:rsid w:val="44915BF6"/>
    <w:rsid w:val="454315E6"/>
    <w:rsid w:val="478F4ECF"/>
    <w:rsid w:val="48633239"/>
    <w:rsid w:val="4A0F06C4"/>
    <w:rsid w:val="4C2F4672"/>
    <w:rsid w:val="4C9131F6"/>
    <w:rsid w:val="4CB15087"/>
    <w:rsid w:val="4D754257"/>
    <w:rsid w:val="4EF348BC"/>
    <w:rsid w:val="50612555"/>
    <w:rsid w:val="50962AA6"/>
    <w:rsid w:val="50E61077"/>
    <w:rsid w:val="519E2614"/>
    <w:rsid w:val="533762D4"/>
    <w:rsid w:val="53966BB7"/>
    <w:rsid w:val="54EB4E0F"/>
    <w:rsid w:val="564C5E20"/>
    <w:rsid w:val="570770AB"/>
    <w:rsid w:val="572F5526"/>
    <w:rsid w:val="57643691"/>
    <w:rsid w:val="576D4C9D"/>
    <w:rsid w:val="587B479B"/>
    <w:rsid w:val="58AE66C5"/>
    <w:rsid w:val="598D56D2"/>
    <w:rsid w:val="59E679BB"/>
    <w:rsid w:val="5A292701"/>
    <w:rsid w:val="5B0E181B"/>
    <w:rsid w:val="5D126FB2"/>
    <w:rsid w:val="5DF9688E"/>
    <w:rsid w:val="5EFFAFEE"/>
    <w:rsid w:val="5F69359F"/>
    <w:rsid w:val="60C5514D"/>
    <w:rsid w:val="61A62BB2"/>
    <w:rsid w:val="61FE4819"/>
    <w:rsid w:val="62533FAF"/>
    <w:rsid w:val="65CBB26D"/>
    <w:rsid w:val="65D831D5"/>
    <w:rsid w:val="66365839"/>
    <w:rsid w:val="6756314B"/>
    <w:rsid w:val="68210EBB"/>
    <w:rsid w:val="68D0468F"/>
    <w:rsid w:val="6A4B2F64"/>
    <w:rsid w:val="6A7A6FA8"/>
    <w:rsid w:val="6C030D6D"/>
    <w:rsid w:val="6D417909"/>
    <w:rsid w:val="6FBB27AB"/>
    <w:rsid w:val="6FFE3E8B"/>
    <w:rsid w:val="70FC4273"/>
    <w:rsid w:val="71537D77"/>
    <w:rsid w:val="71836742"/>
    <w:rsid w:val="71DE7E1D"/>
    <w:rsid w:val="73216213"/>
    <w:rsid w:val="73B8473D"/>
    <w:rsid w:val="753F0BD2"/>
    <w:rsid w:val="75A35605"/>
    <w:rsid w:val="76395672"/>
    <w:rsid w:val="765634C7"/>
    <w:rsid w:val="765C57B4"/>
    <w:rsid w:val="772D5D12"/>
    <w:rsid w:val="77837FBF"/>
    <w:rsid w:val="77A17932"/>
    <w:rsid w:val="77EEB6D5"/>
    <w:rsid w:val="78742653"/>
    <w:rsid w:val="78EA1CC5"/>
    <w:rsid w:val="79DC7338"/>
    <w:rsid w:val="7A7F1A71"/>
    <w:rsid w:val="7B0A57DF"/>
    <w:rsid w:val="7B3863EC"/>
    <w:rsid w:val="7B841A35"/>
    <w:rsid w:val="7BC77B74"/>
    <w:rsid w:val="7BF74F72"/>
    <w:rsid w:val="7C0F6599"/>
    <w:rsid w:val="7D0C1CE2"/>
    <w:rsid w:val="7E927FC5"/>
    <w:rsid w:val="7F34225A"/>
    <w:rsid w:val="7F515CEB"/>
    <w:rsid w:val="7F670CE0"/>
    <w:rsid w:val="7FF2C5BA"/>
    <w:rsid w:val="97BD6B1E"/>
    <w:rsid w:val="BF734C56"/>
    <w:rsid w:val="F1FEB27A"/>
    <w:rsid w:val="FF4E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rPr>
      <w:rFonts w:ascii="金山简黑体" w:hAnsi="金山简黑体" w:eastAsia="Times New Roman" w:cs="Courier New"/>
      <w:b/>
      <w:spacing w:val="-50"/>
      <w:sz w:val="44"/>
      <w:szCs w:val="20"/>
      <w:lang w:val="zh-CN"/>
    </w:rPr>
  </w:style>
  <w:style w:type="paragraph" w:styleId="6">
    <w:name w:val="Plain Text"/>
    <w:basedOn w:val="1"/>
    <w:next w:val="3"/>
    <w:qFormat/>
    <w:uiPriority w:val="0"/>
    <w:rPr>
      <w:rFonts w:ascii="宋体" w:hAnsi="Courier New" w:eastAsia="宋体" w:cs="Times New Roman"/>
      <w:kern w:val="0"/>
      <w:sz w:val="20"/>
      <w:szCs w:val="21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TML Code"/>
    <w:basedOn w:val="10"/>
    <w:qFormat/>
    <w:uiPriority w:val="0"/>
    <w:rPr>
      <w:rFonts w:ascii="Courier New" w:hAnsi="Courier New"/>
      <w:sz w:val="20"/>
    </w:rPr>
  </w:style>
  <w:style w:type="paragraph" w:customStyle="1" w:styleId="13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customStyle="1" w:styleId="14">
    <w:name w:val="网格型11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1849</Words>
  <Characters>1983</Characters>
  <Lines>0</Lines>
  <Paragraphs>0</Paragraphs>
  <TotalTime>12</TotalTime>
  <ScaleCrop>false</ScaleCrop>
  <LinksUpToDate>false</LinksUpToDate>
  <CharactersWithSpaces>2008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2025-10-10T06:32:00Z</dcterms:created>
  <dc:creator>雷成</dc:creator>
  <cp:lastModifiedBy>WPS_1660524169</cp:lastModifiedBy>
  <dcterms:modified xsi:type="dcterms:W3CDTF">2025-10-10T07:57:05Z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A6CD1655B5F44DA88D3D131D74C8652D_13</vt:lpwstr>
  </property>
  <property fmtid="{D5CDD505-2E9C-101B-9397-08002B2CF9AE}" pid="4" name="KSOTemplateDocerSaveRecord">
    <vt:lpwstr>eyJoZGlkIjoiNWMwODkwZTBkODk2NzQ2OTE1YjY3NDA2M2VhOTQ0MWIiLCJ1c2VySWQiOiIxMzkzODI1MTcyIn0=</vt:lpwstr>
  </property>
</Properties>
</file>